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Style"/>
        <w:widowControl/>
        <w:rPr>
          <w:rFonts w:ascii="Times New Roman" w:hAnsi="Times New Roman" w:cs="Times New Roman"/>
        </w:rPr>
      </w:pPr>
      <w:r>
        <w:rPr>
          <w:rFonts w:cs="Times New Roman" w:ascii="Times New Roman" w:hAnsi="Times New Roman"/>
        </w:rPr>
      </w:r>
    </w:p>
    <w:p>
      <w:pPr>
        <w:pStyle w:val="TitleStyle"/>
        <w:widowControl/>
        <w:rPr>
          <w:rFonts w:ascii="Times New Roman" w:hAnsi="Times New Roman" w:cs="Times New Roman"/>
        </w:rPr>
      </w:pPr>
      <w:r>
        <w:rPr>
          <w:rFonts w:cs="Times New Roman" w:ascii="Times New Roman" w:hAnsi="Times New Roman"/>
        </w:rPr>
      </w:r>
    </w:p>
    <w:p>
      <w:pPr>
        <w:pStyle w:val="TitleStyle"/>
        <w:widowControl/>
        <w:rPr>
          <w:rFonts w:ascii="Times New Roman" w:hAnsi="Times New Roman" w:cs="Times New Roman"/>
        </w:rPr>
      </w:pPr>
      <w:r>
        <w:rPr>
          <w:rFonts w:cs="Times New Roman" w:ascii="Times New Roman" w:hAnsi="Times New Roman"/>
        </w:rPr>
        <mc:AlternateContent>
          <mc:Choice Requires="wps">
            <w:drawing>
              <wp:anchor behindDoc="0" distT="0" distB="0" distL="114935" distR="114935" simplePos="0" locked="0" layoutInCell="1" allowOverlap="1" relativeHeight="15">
                <wp:simplePos x="0" y="0"/>
                <wp:positionH relativeFrom="column">
                  <wp:posOffset>-822960</wp:posOffset>
                </wp:positionH>
                <wp:positionV relativeFrom="paragraph">
                  <wp:posOffset>635</wp:posOffset>
                </wp:positionV>
                <wp:extent cx="91440" cy="91440"/>
                <wp:effectExtent l="5080" t="5080" r="5715" b="5715"/>
                <wp:wrapNone/>
                <wp:docPr id="1" name=""/>
                <a:graphic xmlns:a="http://schemas.openxmlformats.org/drawingml/2006/main">
                  <a:graphicData uri="http://schemas.microsoft.com/office/word/2010/wordprocessingShape">
                    <wps:wsp>
                      <wps:cNvSpPr/>
                      <wps:spPr>
                        <a:xfrm>
                          <a:off x="0" y="0"/>
                          <a:ext cx="91440" cy="91440"/>
                        </a:xfrm>
                        <a:custGeom>
                          <a:avLst/>
                          <a:gdLst/>
                          <a:ahLst/>
                          <a:rect l="l" t="t" r="r" b="b"/>
                          <a:pathLst>
                            <a:path w="20000" h="20000">
                              <a:moveTo>
                                <a:pt x="0" y="0"/>
                              </a:moveTo>
                              <a:lnTo>
                                <a:pt x="0" y="20000"/>
                              </a:lnTo>
                              <a:lnTo>
                                <a:pt x="20000" y="20000"/>
                              </a:lnTo>
                              <a:lnTo>
                                <a:pt x="20000" y="0"/>
                              </a:lnTo>
                              <a:lnTo>
                                <a:pt x="0" y="0"/>
                              </a:lnTo>
                            </a:path>
                          </a:pathLst>
                        </a:custGeom>
                        <a:blipFill rotWithShape="0">
                          <a:blip r:embed="rId2"/>
                          <a:tile tx="0" ty="0" sx="100000" sy="100000" algn="ctr"/>
                        </a:blipFill>
                        <a:ln w="9360">
                          <a:solidFill>
                            <a:srgbClr val="ffffff"/>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64.8pt;margin-top:0pt;width:7.15pt;height:7.15pt;mso-wrap-style:none;v-text-anchor:middle">
                <v:fill r:id="rId3" o:detectmouseclick="t" type="tile" color2="black"/>
                <v:stroke color="white" weight="9360" joinstyle="round" endcap="flat"/>
                <w10:wrap type="none"/>
              </v:shape>
            </w:pict>
          </mc:Fallback>
        </mc:AlternateContent>
      </w:r>
      <w:r>
        <w:rPr>
          <w:rFonts w:cs="Times New Roman" w:ascii="Times New Roman" w:hAnsi="Times New Roman"/>
        </w:rPr>
        <w:t>UNITED STATES OF AMERICA</w:t>
      </w:r>
    </w:p>
    <w:p>
      <w:pPr>
        <w:pStyle w:val="Center"/>
        <w:widowControl/>
        <w:spacing w:lineRule="auto" w:line="240" w:before="0" w:after="0"/>
        <w:rPr>
          <w:rFonts w:ascii="Times New Roman" w:hAnsi="Times New Roman" w:cs="Times New Roman"/>
          <w:b/>
          <w:bCs/>
        </w:rPr>
      </w:pPr>
      <w:r>
        <w:rPr>
          <w:rFonts w:cs="Times New Roman" w:ascii="Times New Roman" w:hAnsi="Times New Roman"/>
          <w:b/>
          <w:bCs/>
        </w:rPr>
        <w:t>BEFORE THE</w:t>
      </w:r>
    </w:p>
    <w:p>
      <w:pPr>
        <w:pStyle w:val="Normal"/>
        <w:jc w:val="center"/>
        <w:rPr>
          <w:b/>
          <w:bCs/>
        </w:rPr>
      </w:pPr>
      <w:r>
        <w:rPr>
          <w:b/>
          <w:bCs/>
        </w:rPr>
        <w:t>FEDERAL ENERGY REGULATORY COMMISSION</w:t>
      </w:r>
    </w:p>
    <w:p>
      <w:pPr>
        <w:pStyle w:val="Normal"/>
        <w:rPr>
          <w:b/>
        </w:rPr>
      </w:pPr>
      <w:r>
        <w:rPr>
          <w:b/>
        </w:rPr>
      </w:r>
    </w:p>
    <w:p>
      <w:pPr>
        <w:pStyle w:val="Heading4"/>
        <w:widowControl w:val="false"/>
        <w:spacing w:lineRule="auto" w:line="240"/>
        <w:ind w:hanging="0" w:start="0"/>
        <w:rPr/>
      </w:pPr>
      <w:r>
        <w:rPr/>
        <w:t>Ameren Corporation, on behalf of:</w:t>
        <w:tab/>
        <w:tab/>
        <w:tab/>
        <w:t>)</w:t>
      </w:r>
    </w:p>
    <w:p>
      <w:pPr>
        <w:pStyle w:val="Normal"/>
        <w:ind w:firstLine="720" w:end="0"/>
        <w:rPr>
          <w:b/>
          <w:bCs/>
        </w:rPr>
      </w:pPr>
      <w:r>
        <w:rPr>
          <w:b/>
          <w:bCs/>
        </w:rPr>
        <w:t>Union Electric Company</w:t>
        <w:tab/>
        <w:tab/>
        <w:tab/>
        <w:t>)</w:t>
      </w:r>
    </w:p>
    <w:p>
      <w:pPr>
        <w:pStyle w:val="BodyText"/>
        <w:widowControl w:val="false"/>
        <w:spacing w:lineRule="auto" w:line="240"/>
        <w:ind w:firstLine="720" w:end="0"/>
        <w:rPr>
          <w:b/>
          <w:bCs/>
        </w:rPr>
      </w:pPr>
      <w:r>
        <w:rPr>
          <w:b/>
          <w:bCs/>
        </w:rPr>
        <w:t>Central Illinois Public Service Company</w:t>
        <w:tab/>
        <w:t>)</w:t>
      </w:r>
    </w:p>
    <w:p>
      <w:pPr>
        <w:pStyle w:val="BodyText"/>
        <w:widowControl w:val="false"/>
        <w:spacing w:lineRule="auto" w:line="240"/>
        <w:rPr>
          <w:b/>
          <w:bCs/>
        </w:rPr>
      </w:pPr>
      <w:r>
        <w:rPr>
          <w:b/>
          <w:bCs/>
        </w:rPr>
        <w:tab/>
        <w:tab/>
        <w:tab/>
        <w:tab/>
        <w:tab/>
        <w:tab/>
        <w:tab/>
        <w:t>)</w:t>
      </w:r>
    </w:p>
    <w:p>
      <w:pPr>
        <w:pStyle w:val="BodyText"/>
        <w:widowControl w:val="false"/>
        <w:spacing w:lineRule="auto" w:line="240"/>
        <w:rPr>
          <w:b/>
          <w:bCs/>
        </w:rPr>
      </w:pPr>
      <w:r>
        <w:rPr>
          <w:b/>
          <w:bCs/>
        </w:rPr>
        <w:t>American Electric Power Service Corporation,</w:t>
        <w:tab/>
        <w:t>)</w:t>
      </w:r>
    </w:p>
    <w:p>
      <w:pPr>
        <w:pStyle w:val="BodyText"/>
        <w:widowControl w:val="false"/>
        <w:spacing w:lineRule="auto" w:line="240"/>
        <w:rPr>
          <w:b/>
          <w:bCs/>
        </w:rPr>
      </w:pPr>
      <w:r>
        <w:rPr>
          <w:b/>
          <w:bCs/>
        </w:rPr>
        <w:t xml:space="preserve">    </w:t>
      </w:r>
      <w:r>
        <w:rPr>
          <w:b/>
          <w:bCs/>
        </w:rPr>
        <w:t>on behalf of:</w:t>
        <w:tab/>
        <w:tab/>
        <w:tab/>
        <w:tab/>
        <w:tab/>
        <w:t>)</w:t>
      </w:r>
    </w:p>
    <w:p>
      <w:pPr>
        <w:pStyle w:val="BodyText"/>
        <w:widowControl w:val="false"/>
        <w:spacing w:lineRule="auto" w:line="240"/>
        <w:ind w:firstLine="720" w:end="0"/>
        <w:rPr>
          <w:b/>
          <w:bCs/>
        </w:rPr>
      </w:pPr>
      <w:r>
        <w:rPr>
          <w:b/>
          <w:bCs/>
        </w:rPr>
        <w:t>Appalachian Power Company</w:t>
        <w:tab/>
        <w:tab/>
        <w:t>)</w:t>
      </w:r>
    </w:p>
    <w:p>
      <w:pPr>
        <w:pStyle w:val="BodyText"/>
        <w:widowControl w:val="false"/>
        <w:spacing w:lineRule="auto" w:line="240"/>
        <w:ind w:firstLine="720" w:end="0"/>
        <w:rPr>
          <w:b/>
          <w:bCs/>
        </w:rPr>
      </w:pPr>
      <w:r>
        <w:rPr>
          <w:b/>
          <w:bCs/>
        </w:rPr>
        <w:t>Columbus Southern Power Company</w:t>
        <w:tab/>
        <w:t>)</w:t>
      </w:r>
    </w:p>
    <w:p>
      <w:pPr>
        <w:pStyle w:val="BodyText"/>
        <w:widowControl w:val="false"/>
        <w:spacing w:lineRule="auto" w:line="240"/>
        <w:ind w:firstLine="720" w:end="0"/>
        <w:rPr>
          <w:b/>
          <w:bCs/>
        </w:rPr>
      </w:pPr>
      <w:r>
        <w:rPr>
          <w:b/>
          <w:bCs/>
        </w:rPr>
        <w:t xml:space="preserve">Indiana Michigan Power Company </w:t>
        <w:tab/>
        <w:t>)</w:t>
      </w:r>
    </w:p>
    <w:p>
      <w:pPr>
        <w:pStyle w:val="BodyText"/>
        <w:widowControl w:val="false"/>
        <w:spacing w:lineRule="auto" w:line="240"/>
        <w:ind w:firstLine="720" w:end="0"/>
        <w:rPr>
          <w:b/>
          <w:bCs/>
        </w:rPr>
      </w:pPr>
      <w:r>
        <w:rPr>
          <w:b/>
          <w:bCs/>
        </w:rPr>
        <w:t>Kentucky Power Company</w:t>
        <w:tab/>
        <w:tab/>
        <w:tab/>
        <w:t>)</w:t>
      </w:r>
    </w:p>
    <w:p>
      <w:pPr>
        <w:pStyle w:val="BodyText"/>
        <w:widowControl w:val="false"/>
        <w:spacing w:lineRule="auto" w:line="240"/>
        <w:ind w:firstLine="720" w:end="0"/>
        <w:rPr>
          <w:b/>
          <w:bCs/>
        </w:rPr>
      </w:pPr>
      <w:r>
        <w:rPr>
          <w:b/>
          <w:bCs/>
        </w:rPr>
        <w:t>Kingsport Power Company</w:t>
        <w:tab/>
        <w:tab/>
        <w:tab/>
        <w:t>)</w:t>
      </w:r>
    </w:p>
    <w:p>
      <w:pPr>
        <w:pStyle w:val="BodyText"/>
        <w:widowControl w:val="false"/>
        <w:spacing w:lineRule="auto" w:line="240"/>
        <w:ind w:firstLine="720" w:end="0"/>
        <w:rPr>
          <w:b/>
          <w:bCs/>
        </w:rPr>
      </w:pPr>
      <w:r>
        <w:rPr>
          <w:b/>
          <w:bCs/>
        </w:rPr>
        <w:t>Ohio Power Company</w:t>
        <w:tab/>
        <w:tab/>
        <w:tab/>
        <w:t>)</w:t>
      </w:r>
    </w:p>
    <w:p>
      <w:pPr>
        <w:pStyle w:val="BodyText"/>
        <w:widowControl w:val="false"/>
        <w:spacing w:lineRule="auto" w:line="240"/>
        <w:ind w:firstLine="720" w:end="0"/>
        <w:rPr>
          <w:b/>
          <w:bCs/>
        </w:rPr>
      </w:pPr>
      <w:r>
        <w:rPr>
          <w:b/>
          <w:bCs/>
        </w:rPr>
        <w:t>Wheeling Power Company</w:t>
        <w:tab/>
        <w:tab/>
        <w:tab/>
        <w:t>)</w:t>
      </w:r>
    </w:p>
    <w:p>
      <w:pPr>
        <w:pStyle w:val="BodyText"/>
        <w:widowControl w:val="false"/>
        <w:spacing w:lineRule="auto" w:line="240"/>
        <w:rPr>
          <w:b/>
          <w:bCs/>
        </w:rPr>
      </w:pPr>
      <w:r>
        <w:rPr>
          <w:b/>
          <w:bCs/>
        </w:rPr>
        <w:tab/>
        <w:tab/>
        <w:tab/>
        <w:tab/>
        <w:tab/>
        <w:tab/>
        <w:tab/>
        <w:t>)</w:t>
      </w:r>
    </w:p>
    <w:p>
      <w:pPr>
        <w:pStyle w:val="BodyText"/>
        <w:widowControl w:val="false"/>
        <w:spacing w:lineRule="auto" w:line="240"/>
        <w:rPr>
          <w:b/>
          <w:bCs/>
        </w:rPr>
      </w:pPr>
      <w:r>
        <w:rPr>
          <w:b/>
          <w:bCs/>
        </w:rPr>
        <w:t>Consumers Energy Company</w:t>
        <w:tab/>
        <w:tab/>
        <w:tab/>
        <w:t>)</w:t>
      </w:r>
    </w:p>
    <w:p>
      <w:pPr>
        <w:pStyle w:val="Heading4"/>
        <w:widowControl w:val="false"/>
        <w:spacing w:lineRule="auto" w:line="240"/>
        <w:ind w:firstLine="720" w:start="4320" w:end="0"/>
        <w:rPr/>
      </w:pPr>
      <w:r>
        <w:rPr/>
        <w:t>)</w:t>
      </w:r>
    </w:p>
    <w:p>
      <w:pPr>
        <w:pStyle w:val="Heading4"/>
        <w:widowControl w:val="false"/>
        <w:spacing w:lineRule="auto" w:line="240"/>
        <w:ind w:hanging="0" w:start="0"/>
        <w:rPr/>
      </w:pPr>
      <w:r>
        <w:rPr/>
        <w:t>Exelon Corporation, on behalf of:</w:t>
        <w:tab/>
        <w:tab/>
        <w:tab/>
        <w:t xml:space="preserve">) </w:t>
        <w:tab/>
        <w:t>Docket No. RT01-88-010</w:t>
      </w:r>
    </w:p>
    <w:p>
      <w:pPr>
        <w:pStyle w:val="BodyText"/>
        <w:widowControl w:val="false"/>
        <w:spacing w:lineRule="auto" w:line="240"/>
        <w:ind w:firstLine="720" w:end="0"/>
        <w:rPr>
          <w:b/>
          <w:bCs/>
        </w:rPr>
      </w:pPr>
      <w:r>
        <w:rPr>
          <w:b/>
          <w:bCs/>
        </w:rPr>
        <w:t>Commonwealth Edison Company</w:t>
        <w:tab/>
        <w:tab/>
        <w:t>)</w:t>
      </w:r>
    </w:p>
    <w:p>
      <w:pPr>
        <w:pStyle w:val="BodyText"/>
        <w:widowControl w:val="false"/>
        <w:spacing w:lineRule="auto" w:line="240"/>
        <w:ind w:firstLine="720" w:end="0"/>
        <w:rPr>
          <w:b/>
          <w:bCs/>
        </w:rPr>
      </w:pPr>
      <w:r>
        <w:rPr>
          <w:b/>
          <w:bCs/>
        </w:rPr>
        <w:t>Commonwealth Edison Company of</w:t>
        <w:tab/>
        <w:t>)</w:t>
      </w:r>
    </w:p>
    <w:p>
      <w:pPr>
        <w:pStyle w:val="BodyText"/>
        <w:widowControl w:val="false"/>
        <w:spacing w:lineRule="auto" w:line="240"/>
        <w:ind w:firstLine="720" w:end="0"/>
        <w:rPr>
          <w:b/>
          <w:bCs/>
        </w:rPr>
      </w:pPr>
      <w:r>
        <w:rPr>
          <w:b/>
          <w:bCs/>
        </w:rPr>
        <w:t>Indiana, Inc.</w:t>
        <w:tab/>
        <w:tab/>
        <w:tab/>
        <w:tab/>
        <w:tab/>
        <w:t>)</w:t>
      </w:r>
    </w:p>
    <w:p>
      <w:pPr>
        <w:pStyle w:val="BodyText"/>
        <w:widowControl w:val="false"/>
        <w:spacing w:lineRule="auto" w:line="240"/>
        <w:ind w:firstLine="720" w:end="0"/>
        <w:rPr>
          <w:b/>
          <w:bCs/>
        </w:rPr>
      </w:pPr>
      <w:r>
        <w:rPr>
          <w:b/>
          <w:bCs/>
        </w:rPr>
        <w:tab/>
        <w:tab/>
        <w:tab/>
        <w:tab/>
        <w:tab/>
        <w:tab/>
        <w:t>)</w:t>
      </w:r>
    </w:p>
    <w:p>
      <w:pPr>
        <w:pStyle w:val="BodyText"/>
        <w:widowControl w:val="false"/>
        <w:spacing w:lineRule="auto" w:line="240"/>
        <w:rPr>
          <w:b/>
          <w:bCs/>
        </w:rPr>
      </w:pPr>
      <w:r>
        <w:rPr>
          <w:b/>
          <w:bCs/>
        </w:rPr>
        <w:t>FirstEnergy Corp., on behalf of:</w:t>
        <w:tab/>
        <w:tab/>
        <w:tab/>
        <w:t>)</w:t>
      </w:r>
    </w:p>
    <w:p>
      <w:pPr>
        <w:pStyle w:val="BodyText"/>
        <w:widowControl w:val="false"/>
        <w:spacing w:lineRule="auto" w:line="240"/>
        <w:ind w:firstLine="720" w:end="0"/>
        <w:rPr>
          <w:b/>
          <w:bCs/>
        </w:rPr>
      </w:pPr>
      <w:r>
        <w:rPr>
          <w:b/>
          <w:bCs/>
        </w:rPr>
        <w:t>American Transmission Systems, Inc.</w:t>
        <w:tab/>
        <w:t>)</w:t>
      </w:r>
    </w:p>
    <w:p>
      <w:pPr>
        <w:pStyle w:val="BodyText"/>
        <w:widowControl w:val="false"/>
        <w:spacing w:lineRule="auto" w:line="240"/>
        <w:ind w:firstLine="720" w:end="0"/>
        <w:rPr>
          <w:b/>
          <w:bCs/>
        </w:rPr>
      </w:pPr>
      <w:r>
        <w:rPr>
          <w:b/>
          <w:bCs/>
        </w:rPr>
        <w:t>The Cleveland Electric Illuminating</w:t>
        <w:tab/>
        <w:t>)</w:t>
      </w:r>
    </w:p>
    <w:p>
      <w:pPr>
        <w:pStyle w:val="BodyText"/>
        <w:widowControl w:val="false"/>
        <w:spacing w:lineRule="auto" w:line="240"/>
        <w:ind w:firstLine="720" w:end="0"/>
        <w:rPr>
          <w:b/>
          <w:bCs/>
        </w:rPr>
      </w:pPr>
      <w:r>
        <w:rPr>
          <w:b/>
          <w:bCs/>
        </w:rPr>
        <w:t xml:space="preserve">      </w:t>
      </w:r>
      <w:r>
        <w:rPr>
          <w:b/>
          <w:bCs/>
        </w:rPr>
        <w:t>Company</w:t>
        <w:tab/>
        <w:tab/>
        <w:tab/>
        <w:tab/>
        <w:tab/>
        <w:t>)</w:t>
      </w:r>
    </w:p>
    <w:p>
      <w:pPr>
        <w:pStyle w:val="BodyText"/>
        <w:widowControl w:val="false"/>
        <w:spacing w:lineRule="auto" w:line="240"/>
        <w:ind w:firstLine="720" w:end="0"/>
        <w:rPr>
          <w:b/>
          <w:bCs/>
        </w:rPr>
      </w:pPr>
      <w:r>
        <w:rPr>
          <w:b/>
          <w:bCs/>
        </w:rPr>
        <w:t>Ohio Edison Company</w:t>
        <w:tab/>
        <w:tab/>
        <w:tab/>
        <w:t>)</w:t>
      </w:r>
    </w:p>
    <w:p>
      <w:pPr>
        <w:pStyle w:val="BodyText"/>
        <w:widowControl w:val="false"/>
        <w:spacing w:lineRule="auto" w:line="240"/>
        <w:ind w:firstLine="720" w:end="0"/>
        <w:rPr>
          <w:b/>
          <w:bCs/>
        </w:rPr>
      </w:pPr>
      <w:r>
        <w:rPr>
          <w:b/>
          <w:bCs/>
        </w:rPr>
        <w:t>Pennsylvania Power Company</w:t>
        <w:tab/>
        <w:tab/>
        <w:t>)</w:t>
      </w:r>
    </w:p>
    <w:p>
      <w:pPr>
        <w:pStyle w:val="BodyText"/>
        <w:widowControl w:val="false"/>
        <w:spacing w:lineRule="auto" w:line="240"/>
        <w:ind w:firstLine="720" w:end="0"/>
        <w:rPr>
          <w:b/>
          <w:bCs/>
        </w:rPr>
      </w:pPr>
      <w:r>
        <w:rPr>
          <w:b/>
          <w:bCs/>
        </w:rPr>
        <w:t>The Toledo Edison Company</w:t>
        <w:tab/>
        <w:tab/>
        <w:t>)</w:t>
      </w:r>
    </w:p>
    <w:p>
      <w:pPr>
        <w:pStyle w:val="BodyText"/>
        <w:widowControl w:val="false"/>
        <w:spacing w:lineRule="auto" w:line="240"/>
        <w:ind w:firstLine="720" w:end="0"/>
        <w:rPr>
          <w:b/>
          <w:bCs/>
        </w:rPr>
      </w:pPr>
      <w:r>
        <w:rPr>
          <w:b/>
          <w:bCs/>
        </w:rPr>
        <w:tab/>
        <w:tab/>
        <w:tab/>
        <w:tab/>
        <w:tab/>
        <w:tab/>
        <w:t>)</w:t>
      </w:r>
    </w:p>
    <w:p>
      <w:pPr>
        <w:pStyle w:val="BodyText"/>
        <w:widowControl w:val="false"/>
        <w:spacing w:lineRule="auto" w:line="240"/>
        <w:rPr>
          <w:b/>
          <w:bCs/>
        </w:rPr>
      </w:pPr>
      <w:r>
        <w:rPr>
          <w:b/>
          <w:bCs/>
        </w:rPr>
        <w:t>Illinois Power Company</w:t>
        <w:tab/>
        <w:tab/>
        <w:tab/>
        <w:tab/>
        <w:t>)</w:t>
      </w:r>
    </w:p>
    <w:p>
      <w:pPr>
        <w:pStyle w:val="BodyText"/>
        <w:widowControl w:val="false"/>
        <w:spacing w:lineRule="auto" w:line="240"/>
        <w:rPr>
          <w:b/>
          <w:bCs/>
        </w:rPr>
      </w:pPr>
      <w:r>
        <w:rPr>
          <w:b/>
          <w:bCs/>
        </w:rPr>
        <w:t>The Dayton Power and Light Company</w:t>
        <w:tab/>
        <w:tab/>
        <w:t>)</w:t>
      </w:r>
    </w:p>
    <w:p>
      <w:pPr>
        <w:pStyle w:val="BodyText"/>
        <w:widowControl w:val="false"/>
        <w:spacing w:lineRule="auto" w:line="240"/>
        <w:rPr>
          <w:b/>
          <w:bCs/>
        </w:rPr>
      </w:pPr>
      <w:r>
        <w:rPr>
          <w:b/>
          <w:bCs/>
        </w:rPr>
        <w:t>The Detroit Edison Company</w:t>
        <w:tab/>
        <w:tab/>
        <w:tab/>
        <w:t>)</w:t>
      </w:r>
    </w:p>
    <w:p>
      <w:pPr>
        <w:pStyle w:val="BodyText"/>
        <w:widowControl w:val="false"/>
        <w:spacing w:lineRule="auto" w:line="240"/>
        <w:rPr>
          <w:b/>
          <w:bCs/>
        </w:rPr>
      </w:pPr>
      <w:r>
        <w:rPr>
          <w:b/>
          <w:bCs/>
        </w:rPr>
        <w:t>Virginia Electric and Power Company</w:t>
        <w:tab/>
        <w:tab/>
        <w:t>)</w:t>
      </w:r>
    </w:p>
    <w:p>
      <w:pPr>
        <w:pStyle w:val="TitleStyle"/>
        <w:widowControl/>
        <w:rPr>
          <w:rFonts w:ascii="Times New Roman" w:hAnsi="Times New Roman" w:cs="Times New Roman"/>
          <w:b w:val="false"/>
          <w:bCs/>
        </w:rPr>
      </w:pPr>
      <w:r>
        <w:rPr>
          <w:rFonts w:cs="Times New Roman" w:ascii="Times New Roman" w:hAnsi="Times New Roman"/>
          <w:b w:val="false"/>
          <w:bCs/>
        </w:rPr>
      </w:r>
    </w:p>
    <w:p>
      <w:pPr>
        <w:pStyle w:val="Normal"/>
        <w:jc w:val="center"/>
        <w:rPr>
          <w:rFonts w:ascii="Times New Roman" w:hAnsi="Times New Roman" w:cs="Times New Roman"/>
        </w:rPr>
      </w:pPr>
      <w:r>
        <w:rPr>
          <w:rFonts w:cs="Times New Roman"/>
        </w:rPr>
      </w:r>
    </w:p>
    <w:p>
      <w:pPr>
        <w:pStyle w:val="Normal"/>
        <w:jc w:val="center"/>
        <w:rPr>
          <w:b/>
          <w:bCs/>
        </w:rPr>
      </w:pPr>
      <w:r>
        <w:rPr>
          <w:b/>
          <w:bCs/>
        </w:rPr>
        <w:t xml:space="preserve">PROTEST OF </w:t>
      </w:r>
    </w:p>
    <w:p>
      <w:pPr>
        <w:pStyle w:val="Normal"/>
        <w:jc w:val="center"/>
        <w:rPr>
          <w:b/>
          <w:bCs/>
        </w:rPr>
      </w:pPr>
      <w:r>
        <w:rPr>
          <w:b/>
          <w:bCs/>
        </w:rPr>
        <w:t xml:space="preserve">INTERVENOR ENRON POWER MARKETING, INC. </w:t>
      </w:r>
    </w:p>
    <w:p>
      <w:pPr>
        <w:pStyle w:val="Normal"/>
        <w:jc w:val="both"/>
        <w:rPr>
          <w:b/>
          <w:bCs/>
        </w:rPr>
      </w:pPr>
      <w:r>
        <w:rPr>
          <w:b/>
          <w:bCs/>
        </w:rPr>
      </w:r>
    </w:p>
    <w:p>
      <w:pPr>
        <w:pStyle w:val="BodyText"/>
        <w:tabs>
          <w:tab w:val="clear" w:pos="720"/>
        </w:tabs>
        <w:ind w:firstLine="720" w:end="0"/>
        <w:rPr/>
      </w:pPr>
      <w:r>
        <w:rPr/>
        <w:t>Pursuant to Rule 211 of the Rules of Practice and Procedure of the Federal Energy Regulatory Commission (“Commission”), 18 C.F.R. 211, and the Commission’s October 19, 2001 Notice of Filing, intervenor Enron Power Marketing, Inc. (“EPMI”) hereby moves to protest in the above-captioned proceeding.</w:t>
      </w:r>
    </w:p>
    <w:p>
      <w:pPr>
        <w:pStyle w:val="TitleStyle"/>
        <w:widowControl/>
        <w:tabs>
          <w:tab w:val="clear" w:pos="720"/>
          <w:tab w:val="center" w:pos="4680" w:leader="none"/>
        </w:tabs>
        <w:rPr>
          <w:rFonts w:ascii="Times New Roman" w:hAnsi="Times New Roman" w:cs="Times New Roman"/>
          <w:bCs/>
          <w:caps w:val="false"/>
          <w:smallCaps w:val="false"/>
          <w:szCs w:val="24"/>
        </w:rPr>
      </w:pPr>
      <w:r>
        <w:rPr>
          <w:rFonts w:cs="Times New Roman" w:ascii="Times New Roman" w:hAnsi="Times New Roman"/>
          <w:bCs/>
          <w:caps w:val="false"/>
          <w:smallCaps w:val="false"/>
          <w:szCs w:val="24"/>
        </w:rPr>
        <w:t>I.</w:t>
      </w:r>
    </w:p>
    <w:p>
      <w:pPr>
        <w:pStyle w:val="Heading1"/>
        <w:spacing w:lineRule="auto" w:line="240"/>
        <w:ind w:hanging="0" w:start="0"/>
        <w:rPr>
          <w:u w:val="single"/>
        </w:rPr>
      </w:pPr>
      <w:r>
        <w:rPr>
          <w:u w:val="single"/>
        </w:rPr>
        <w:t>BACKGROUND</w:t>
      </w:r>
    </w:p>
    <w:p>
      <w:pPr>
        <w:pStyle w:val="Normal"/>
        <w:rPr>
          <w:u w:val="single"/>
        </w:rPr>
      </w:pPr>
      <w:r>
        <w:rPr>
          <w:u w:val="single"/>
        </w:rPr>
      </w:r>
    </w:p>
    <w:p>
      <w:pPr>
        <w:pStyle w:val="BodyText"/>
        <w:tabs>
          <w:tab w:val="clear" w:pos="720"/>
        </w:tabs>
        <w:ind w:firstLine="720" w:end="0"/>
        <w:rPr>
          <w:i/>
          <w:i/>
          <w:iCs/>
        </w:rPr>
      </w:pPr>
      <w:r>
        <w:rPr/>
        <w:t>On October 16, 2001, the Alliance Companies ("Alliance") tendered for filing several changes to its Open Access Transmission Tariff (“OATT”), including Attachment J “Table of Reservations and Scheduling Times” and Attachment O “Market Monitoring Plan.”  Alliance seeks an effective date of December 15, 2001.</w:t>
      </w:r>
    </w:p>
    <w:p>
      <w:pPr>
        <w:pStyle w:val="BodyText"/>
        <w:tabs>
          <w:tab w:val="left" w:pos="720" w:leader="none"/>
          <w:tab w:val="center" w:pos="4320" w:leader="none"/>
        </w:tabs>
        <w:spacing w:lineRule="auto" w:line="240"/>
        <w:jc w:val="center"/>
        <w:rPr>
          <w:b/>
          <w:bCs/>
        </w:rPr>
      </w:pPr>
      <w:r>
        <w:rPr>
          <w:b/>
          <w:bCs/>
        </w:rPr>
        <w:t>II.</w:t>
      </w:r>
    </w:p>
    <w:p>
      <w:pPr>
        <w:pStyle w:val="Heading3"/>
        <w:ind w:hanging="0" w:start="0"/>
        <w:rPr/>
      </w:pPr>
      <w:r>
        <w:rPr/>
        <w:t>PROTEST</w:t>
      </w:r>
    </w:p>
    <w:p>
      <w:pPr>
        <w:pStyle w:val="Normal"/>
        <w:rPr/>
      </w:pPr>
      <w:r>
        <w:rPr/>
      </w:r>
    </w:p>
    <w:p>
      <w:pPr>
        <w:pStyle w:val="BodyTextIndent"/>
        <w:rPr/>
      </w:pPr>
      <w:r>
        <w:rPr/>
        <w:t>EPMI again requests that the Commission initiate a proceeding for the formation of one Midwestern RTO, and that it defer consideration of Alliance's requested tariff amendments until such a proceeding is under way.  Should the Commission decide to rule on Alliance's tariff amendments outside of a Midwestern RTO proceeding, EPMI requests that the Commission defer any ruling on such tariff filings until RTO formation in the Midwest has progressed far enough to allow the participants to evaluate the full impact of Alliance's proposed OATT changes in the context of the formation of a Midwestern RTO.</w:t>
      </w:r>
    </w:p>
    <w:p>
      <w:pPr>
        <w:pStyle w:val="Normal"/>
        <w:rPr/>
      </w:pPr>
      <w:r>
        <w:rPr/>
      </w:r>
    </w:p>
    <w:p>
      <w:pPr>
        <w:pStyle w:val="BodyText2"/>
        <w:rPr/>
      </w:pPr>
      <w:r>
        <w:rPr/>
        <w:t>A.  The Commission should delay the protest deadline and review of any new OATT revisions by Alliance.</w:t>
      </w:r>
    </w:p>
    <w:p>
      <w:pPr>
        <w:pStyle w:val="Normal"/>
        <w:rPr/>
      </w:pPr>
      <w:r>
        <w:rPr/>
      </w:r>
    </w:p>
    <w:p>
      <w:pPr>
        <w:pStyle w:val="BodyTextIndent"/>
        <w:autoSpaceDE w:val="false"/>
        <w:rPr/>
      </w:pPr>
      <w:r>
        <w:rPr/>
        <w:t>As EPMI has previously stated in response to other recent filings by Alliance and the Midwest ISO</w:t>
      </w:r>
      <w:r>
        <w:rPr>
          <w:rStyle w:val="FootnoteCharacters"/>
          <w:rStyle w:val="FootnoteReference"/>
        </w:rPr>
        <w:footnoteReference w:id="2"/>
      </w:r>
      <w:r>
        <w:rPr/>
        <w:t>, the Commission should provide guidance on the essential aspects of a single RTO for the Midwest, including governance, stakeholder process, congestion management and other appropriate procedures and protocols.  EPMI has asked for a collaborative process, with Commission assistance, to effect that structure.  EPMI’s request is consistent with the Commission’s July 12, 2001 RTO orders, in which the Commission stated its policy to have only four RTOs in the U.S.  EPMI reiterates its request here, and urges the Commission to consider Alliance's proposed OATT revisions in the context of a new proceeding to implement one Midwestern RTO.</w:t>
      </w:r>
    </w:p>
    <w:p>
      <w:pPr>
        <w:pStyle w:val="BodyTextIndent"/>
        <w:autoSpaceDE w:val="false"/>
        <w:rPr/>
      </w:pPr>
      <w:r>
        <w:rPr/>
        <w:t>If the Commission elects to consider this tariff filing outside of the context of a consolidated Midwest RTO proceeding, it should at least delay consideration of the proposed provisions until such time as a meaningful analysis can be performed on the OATT applicable to the RTO.  The Commission should not rule on any tariff filing by Alliance until it is satisfied that RTO formation in the Midwest has progressed sufficiently to allow meaningful consideration of an OATT applicable to the RTO.  Therefore, Alliance’s proposal for any additional changes should be reviewed in the context of other OATT provisions that Alliance may propose.</w:t>
      </w:r>
    </w:p>
    <w:p>
      <w:pPr>
        <w:pStyle w:val="Heading4"/>
        <w:spacing w:lineRule="auto" w:line="240"/>
        <w:ind w:hanging="0" w:start="0"/>
        <w:rPr/>
      </w:pPr>
      <w:r>
        <w:rPr/>
        <w:t>B.  The Commission should reject Alliance's proposed changes to Attachment J.</w:t>
      </w:r>
    </w:p>
    <w:p>
      <w:pPr>
        <w:pStyle w:val="Normal"/>
        <w:rPr/>
      </w:pPr>
      <w:r>
        <w:rPr/>
      </w:r>
    </w:p>
    <w:p>
      <w:pPr>
        <w:pStyle w:val="Normal"/>
        <w:spacing w:lineRule="auto" w:line="480"/>
        <w:jc w:val="both"/>
        <w:rPr/>
      </w:pPr>
      <w:r>
        <w:rPr/>
        <w:tab/>
        <w:t>Should the Commission deny EPMI's protest with regard to the above, EPMI requests that the Commission reject Alliance's proposed changes to Attachment J.  Alliance, like MISO, proposes that requests for monthly, weekly, and daily firm transmission not be allowed to be submitted prior to a “no earlier than” date.</w:t>
      </w:r>
      <w:r>
        <w:rPr>
          <w:rStyle w:val="FootnoteCharacters"/>
          <w:rStyle w:val="FootnoteReference"/>
        </w:rPr>
        <w:footnoteReference w:id="3"/>
      </w:r>
      <w:r>
        <w:rPr/>
        <w:t xml:space="preserve">  This proposed change from the Order No. 638 standards would restrict the transmission process without any justification.  Customers may want to request summer transmission, for example, before February 1; however, pursuant to this proposed change, they would be restricted from doing so.  The Commission should reject the proposed changes that are inconsistent with Order No. 638.</w:t>
      </w:r>
    </w:p>
    <w:p>
      <w:pPr>
        <w:pStyle w:val="BodyText3"/>
        <w:ind w:start="360" w:end="0"/>
        <w:rPr/>
      </w:pPr>
      <w:r>
        <w:rPr/>
        <w:t>C.</w:t>
      </w:r>
      <w:r>
        <w:rPr>
          <w:b w:val="false"/>
          <w:bCs w:val="false"/>
        </w:rPr>
        <w:t xml:space="preserve">  </w:t>
      </w:r>
      <w:r>
        <w:rPr>
          <w:szCs w:val="20"/>
        </w:rPr>
        <w:t>Independent and transparent market monitoring is in the public interest.</w:t>
      </w:r>
    </w:p>
    <w:p>
      <w:pPr>
        <w:pStyle w:val="BodyText3"/>
        <w:ind w:start="360" w:end="0"/>
        <w:rPr>
          <w:szCs w:val="20"/>
        </w:rPr>
      </w:pPr>
      <w:r>
        <w:rPr>
          <w:szCs w:val="20"/>
        </w:rPr>
      </w:r>
    </w:p>
    <w:p>
      <w:pPr>
        <w:pStyle w:val="Normal"/>
        <w:autoSpaceDE w:val="false"/>
        <w:spacing w:lineRule="auto" w:line="480"/>
        <w:ind w:firstLine="360" w:end="0"/>
        <w:jc w:val="both"/>
        <w:rPr/>
      </w:pPr>
      <w:r>
        <w:rPr/>
        <w:t>EPMI fully supports the Commission’s decision to establish four RTOs nationwide (outside of ERCOT).  A well functioning RTO will provide many benefits to the electricity grid of the United States: increased reliability through increased coordination and improved real-time pricing; flexibility and diversity of supply; better ability to identify and price true transmission constraints (rather than artificial, institutionally created constraints); greater capability to minimize energy costs through incorporation and pricing of real constraints in dispatch; improved ability to provide better price signals that encourage demand side management; greater incentive to invest in transmission where warranted and, most importantly, the perception that the playing field for incumbents and new entrants alike will at last be leveled.  It is this last benefit in particular, a result of the RTO approach, that will bring confidence in the market to attract more participants and market activity and to ensure that capacity adequacy is achieved.</w:t>
      </w:r>
    </w:p>
    <w:p>
      <w:pPr>
        <w:pStyle w:val="BodyText"/>
        <w:tabs>
          <w:tab w:val="left" w:pos="360" w:leader="none"/>
          <w:tab w:val="center" w:pos="720" w:leader="none"/>
        </w:tabs>
        <w:rPr/>
      </w:pPr>
      <w:r>
        <w:rPr/>
        <w:tab/>
        <w:tab/>
        <w:t xml:space="preserve">It is critical that the market monitor be independent in perception as well as reality of the markets and parties with whom it interacts, as this is the only way that a level playing field is maintained.  The market monitor will interact with participants, the RTO and other interested parties, such as regulators and state/federal bodies, on a daily basis.  In doing so it must be able to avoid perceived conflicts of interest, as each such interaction is liable to be viewed by market participants with suspicion.  The mere perception of conflicts of interest will inevitably damage the market’s credibility and will result in diminished market participation.  As such, perceptions of conflicts of interest must be managed by ensuring that the market monitor is in fact independent and that its relationship with each and every market participant is transparent, </w:t>
      </w:r>
      <w:r>
        <w:rPr>
          <w:u w:val="single"/>
        </w:rPr>
        <w:t>i.e.</w:t>
      </w:r>
      <w:r>
        <w:rPr/>
        <w:t xml:space="preserve"> open to public scrutiny.  In turn, incumbents and new entrants will perceive that they have equal access to the market.  This will build confidence and promote an open, competitive structure that is in the public interest.  The market monitor must be independent, and its interactions with market participants must be transparent.</w:t>
      </w:r>
    </w:p>
    <w:p>
      <w:pPr>
        <w:pStyle w:val="BodyText"/>
        <w:tabs>
          <w:tab w:val="left" w:pos="360" w:leader="none"/>
          <w:tab w:val="center" w:pos="720" w:leader="none"/>
        </w:tabs>
        <w:rPr/>
      </w:pPr>
      <w:r>
        <w:rPr/>
        <w:tab/>
        <w:tab/>
        <w:t>The Market Monitoring Plan ("Plan") submitted by Alliance in the above captioned docket was developed through a broad stakeholder process.  However, as noted by Alliance in its filing, comments of stakeholders sometimes represented conflicting opinions.  As a result the document reflects Alliance’s view of consensus.  EPMI believes that while the document is generally consistent, in spirit, with the key requirements of independence and transparency, it could be improved in the following areas:</w:t>
      </w:r>
    </w:p>
    <w:p>
      <w:pPr>
        <w:pStyle w:val="Normal"/>
        <w:numPr>
          <w:ilvl w:val="0"/>
          <w:numId w:val="2"/>
        </w:numPr>
        <w:autoSpaceDE w:val="false"/>
        <w:spacing w:lineRule="auto" w:line="480"/>
        <w:rPr>
          <w:szCs w:val="20"/>
        </w:rPr>
      </w:pPr>
      <w:r>
        <w:rPr>
          <w:szCs w:val="20"/>
        </w:rPr>
        <w:t>the contractual relationship that the Independent Market Monitor (“IMM”) has with the RTO;</w:t>
      </w:r>
    </w:p>
    <w:p>
      <w:pPr>
        <w:pStyle w:val="Normal"/>
        <w:numPr>
          <w:ilvl w:val="0"/>
          <w:numId w:val="2"/>
        </w:numPr>
        <w:autoSpaceDE w:val="false"/>
        <w:spacing w:lineRule="auto" w:line="480"/>
        <w:rPr>
          <w:szCs w:val="20"/>
        </w:rPr>
      </w:pPr>
      <w:r>
        <w:rPr>
          <w:szCs w:val="20"/>
        </w:rPr>
        <w:t xml:space="preserve">the daily interaction that the IMM has with RTO staff, particularly the relationship with the Market Monitoring Committee (MMC); </w:t>
      </w:r>
    </w:p>
    <w:p>
      <w:pPr>
        <w:pStyle w:val="Normal"/>
        <w:numPr>
          <w:ilvl w:val="0"/>
          <w:numId w:val="2"/>
        </w:numPr>
        <w:autoSpaceDE w:val="false"/>
        <w:spacing w:lineRule="auto" w:line="480"/>
        <w:rPr>
          <w:szCs w:val="20"/>
        </w:rPr>
      </w:pPr>
      <w:r>
        <w:rPr>
          <w:szCs w:val="20"/>
        </w:rPr>
        <w:t>The nature of market monitoring investigations and reporting;</w:t>
      </w:r>
    </w:p>
    <w:p>
      <w:pPr>
        <w:pStyle w:val="BodyText2"/>
        <w:numPr>
          <w:ilvl w:val="0"/>
          <w:numId w:val="2"/>
        </w:numPr>
        <w:spacing w:lineRule="auto" w:line="480"/>
        <w:rPr>
          <w:b w:val="false"/>
          <w:bCs w:val="false"/>
        </w:rPr>
      </w:pPr>
      <w:r>
        <w:rPr>
          <w:b w:val="false"/>
          <w:bCs w:val="false"/>
        </w:rPr>
        <w:t>The requirement to waive rights to protest at the Commission the Addendum A list of data.  See Section 6.2.2 (d).</w:t>
      </w:r>
    </w:p>
    <w:p>
      <w:pPr>
        <w:pStyle w:val="BodyText2"/>
        <w:spacing w:lineRule="auto" w:line="480"/>
        <w:ind w:firstLine="360" w:end="0"/>
        <w:jc w:val="both"/>
        <w:rPr/>
      </w:pPr>
      <w:r>
        <w:rPr>
          <w:b w:val="false"/>
          <w:bCs w:val="false"/>
        </w:rPr>
        <w:t>EPMI does not propose amendments to the proposed structures (except for the 2</w:t>
      </w:r>
      <w:r>
        <w:rPr>
          <w:b w:val="false"/>
          <w:bCs w:val="false"/>
          <w:vertAlign w:val="superscript"/>
        </w:rPr>
        <w:t>nd</w:t>
      </w:r>
      <w:r>
        <w:rPr>
          <w:b w:val="false"/>
          <w:bCs w:val="false"/>
        </w:rPr>
        <w:t xml:space="preserve"> and 4</w:t>
      </w:r>
      <w:r>
        <w:rPr>
          <w:b w:val="false"/>
          <w:bCs w:val="false"/>
          <w:vertAlign w:val="superscript"/>
        </w:rPr>
        <w:t>th</w:t>
      </w:r>
      <w:r>
        <w:rPr>
          <w:b w:val="false"/>
          <w:bCs w:val="false"/>
        </w:rPr>
        <w:t xml:space="preserve"> points, addressed below).  Instead it suggests that these areas can be improved by adding a greater degree of transparency to the Plan and using this transparency to mitigate any perceived conflicts of interest that parties may have.  Improved transparency will improve confidence in the market and is in the public interest.</w:t>
      </w:r>
    </w:p>
    <w:p>
      <w:pPr>
        <w:pStyle w:val="BodyTextIndent2"/>
        <w:ind w:hanging="0" w:start="720" w:end="0"/>
        <w:rPr>
          <w:sz w:val="24"/>
        </w:rPr>
      </w:pPr>
      <w:r>
        <w:rPr>
          <w:sz w:val="24"/>
        </w:rPr>
        <w:t xml:space="preserve">1. The proposed market monitoring plan should be modified with respect to the contractual relationship between the IMM and RTO; the manner in which the IMM interacts daily with RTO staff; and the investigations undertaken by the IMM and the reporting of the results of such investigations. </w:t>
      </w:r>
    </w:p>
    <w:p>
      <w:pPr>
        <w:pStyle w:val="BodyTextIndent2"/>
        <w:ind w:hanging="0" w:start="720" w:end="0"/>
        <w:rPr>
          <w:b w:val="false"/>
          <w:bCs w:val="false"/>
          <w:sz w:val="24"/>
          <w:szCs w:val="20"/>
        </w:rPr>
      </w:pPr>
      <w:r>
        <w:rPr>
          <w:b w:val="false"/>
          <w:bCs w:val="false"/>
          <w:sz w:val="24"/>
          <w:szCs w:val="20"/>
        </w:rPr>
      </w:r>
    </w:p>
    <w:p>
      <w:pPr>
        <w:pStyle w:val="Normal"/>
        <w:autoSpaceDE w:val="false"/>
        <w:spacing w:lineRule="auto" w:line="480"/>
        <w:ind w:firstLine="720" w:end="0"/>
        <w:jc w:val="both"/>
        <w:rPr>
          <w:szCs w:val="20"/>
        </w:rPr>
      </w:pPr>
      <w:r>
        <w:rPr>
          <w:szCs w:val="20"/>
        </w:rPr>
        <w:t xml:space="preserve">As the comments above indicate, independence and transparency are critical hallmarks of a market monitoring process.  In addition, however, market participants should be provided adequate remedies in the event that the transparent view afforded them of the IMM’s or other parties’ actions results in specific concerns.  For the most part, the proposed Plan assures independence and provides the necessary transparency.  EPMI respectfully requests modifications in three particular areas:   </w:t>
      </w:r>
    </w:p>
    <w:p>
      <w:pPr>
        <w:pStyle w:val="Normal"/>
        <w:numPr>
          <w:ilvl w:val="0"/>
          <w:numId w:val="4"/>
        </w:numPr>
        <w:autoSpaceDE w:val="false"/>
        <w:spacing w:lineRule="auto" w:line="480"/>
        <w:jc w:val="both"/>
        <w:rPr>
          <w:szCs w:val="20"/>
        </w:rPr>
      </w:pPr>
      <w:r>
        <w:rPr>
          <w:szCs w:val="20"/>
        </w:rPr>
        <w:t>the contractual relationship with the RTO.</w:t>
      </w:r>
    </w:p>
    <w:p>
      <w:pPr>
        <w:pStyle w:val="Normal"/>
        <w:numPr>
          <w:ilvl w:val="0"/>
          <w:numId w:val="4"/>
        </w:numPr>
        <w:autoSpaceDE w:val="false"/>
        <w:spacing w:lineRule="auto" w:line="480"/>
        <w:jc w:val="both"/>
        <w:rPr>
          <w:szCs w:val="20"/>
        </w:rPr>
      </w:pPr>
      <w:r>
        <w:rPr>
          <w:szCs w:val="20"/>
        </w:rPr>
        <w:t>the daily interaction with RTO staff.</w:t>
      </w:r>
    </w:p>
    <w:p>
      <w:pPr>
        <w:pStyle w:val="Normal"/>
        <w:numPr>
          <w:ilvl w:val="0"/>
          <w:numId w:val="4"/>
        </w:numPr>
        <w:autoSpaceDE w:val="false"/>
        <w:spacing w:lineRule="auto" w:line="480"/>
        <w:jc w:val="both"/>
        <w:rPr>
          <w:szCs w:val="20"/>
        </w:rPr>
      </w:pPr>
      <w:r>
        <w:rPr>
          <w:szCs w:val="20"/>
        </w:rPr>
        <w:t>investigations and reporting by the IMM.</w:t>
      </w:r>
    </w:p>
    <w:p>
      <w:pPr>
        <w:pStyle w:val="BodyTextIndent3"/>
        <w:spacing w:lineRule="auto" w:line="480"/>
        <w:ind w:firstLine="720" w:start="0" w:end="0"/>
        <w:jc w:val="both"/>
        <w:rPr>
          <w:b w:val="false"/>
          <w:bCs w:val="false"/>
          <w:sz w:val="24"/>
        </w:rPr>
      </w:pPr>
      <w:r>
        <w:rPr>
          <w:b w:val="false"/>
          <w:bCs w:val="false"/>
          <w:sz w:val="24"/>
        </w:rPr>
        <w:t>The proposed contractual relationship between the IMM and the RTO presents a potential conflict of interest that must be addressed in the interest of independence and transparency.  Specifically, the Plan provides for a contractual relationship between the IMM and RTO that could be perceived to create a conflict of interest in circumstances in which the IMM is investigating the actions of the RTO itself.  Pursuant to Section 4.1 of the Plan, “The Cooperating RTOs shall retain a firm to be known as the Independent Market Monitor”.  Section 3.2 of the Plan provides that the Market Monitoring Committee (MMC) shall be responsible for administrative oversight of the contractual agreement with the IMM.  Even if EPMI’s concerns regarding the constitution and duties of the MMC are addressed (see below), perceptions of the independence of the contractual parties would be bolstered by assuring transparency of the contractual arrangements as well as a public process for the resolution of disputes between the IMM and the RTO.</w:t>
      </w:r>
    </w:p>
    <w:p>
      <w:pPr>
        <w:pStyle w:val="BodyText2"/>
        <w:spacing w:lineRule="auto" w:line="480"/>
        <w:ind w:firstLine="720" w:end="0"/>
        <w:jc w:val="both"/>
        <w:rPr>
          <w:b w:val="false"/>
          <w:bCs w:val="false"/>
        </w:rPr>
      </w:pPr>
      <w:r>
        <w:rPr>
          <w:b w:val="false"/>
          <w:bCs w:val="false"/>
        </w:rPr>
        <w:t>Such enhancements to the Plan are warranted as a result of issues associated with incentives of an IMM to maintain a contractual relationship with the RTO in the long term, and shorter-term incentives to be compensated pursuant to contractual arrangements.  In the former instance, a potential IMM might choose to enter into contractual arrangements with an RTO that would allow the RTO to participate in investigations undertaken by the IMM, or to read and edit reports prepared by the IMM prior to their issuance.  This concern is particularly troublesome in view of the potential for the IMM to be investigating actions of the RTO itself.  EPMI requests that this potential conflict of interest be mitigated by a requirement in the Plan that the contract (excluding specific payment terms) be publicly available.  The latter concern, that the RTO withhold payments to the IMM in an effort to exert influence over the course of an investigation or an impending report, can be mitigated by ensuring that any disputes between the IMM and the RTO are resolved through a public dispute resolution process overseen by FERC.</w:t>
      </w:r>
    </w:p>
    <w:p>
      <w:pPr>
        <w:pStyle w:val="BodyText2"/>
        <w:numPr>
          <w:ilvl w:val="0"/>
          <w:numId w:val="3"/>
        </w:numPr>
        <w:rPr/>
      </w:pPr>
      <w:r>
        <w:rPr/>
        <w:t xml:space="preserve">The governance structure of the MMC presents a potential conflict of interest and should be modified in the interest of independence and transparency.   </w:t>
      </w:r>
    </w:p>
    <w:p>
      <w:pPr>
        <w:pStyle w:val="BodyText2"/>
        <w:ind w:start="720" w:end="0"/>
        <w:rPr>
          <w:b w:val="false"/>
          <w:bCs w:val="false"/>
        </w:rPr>
      </w:pPr>
      <w:r>
        <w:rPr>
          <w:b w:val="false"/>
          <w:bCs w:val="false"/>
        </w:rPr>
      </w:r>
    </w:p>
    <w:p>
      <w:pPr>
        <w:pStyle w:val="BodyText2"/>
        <w:spacing w:lineRule="auto" w:line="480"/>
        <w:ind w:firstLine="720" w:end="0"/>
        <w:jc w:val="both"/>
        <w:rPr>
          <w:b w:val="false"/>
          <w:bCs w:val="false"/>
        </w:rPr>
      </w:pPr>
      <w:r>
        <w:rPr>
          <w:b w:val="false"/>
          <w:bCs w:val="false"/>
        </w:rPr>
        <w:t xml:space="preserve">The Plan proposes that the MMC, consisting of one representative appointed by each cooperating RTO, be responsible for a variety of functions associated with the routine interaction of the IMM and the RTO staff and Board of Directors.  For example, Section 3.2 of the Plan establishes that the MMC serve as liaison between the IMM and the RTO Boards of Directors; that it support efforts of the IMM to collect necessary data and information from the RTOs; that it coordinate the evaluation of the need for corrective measures, including but not limited to rule or tariff changes; and that it provide comments on issues investigated or analyzed by the IMM related to the factual accuracy of the IMM’s reports. </w:t>
      </w:r>
    </w:p>
    <w:p>
      <w:pPr>
        <w:pStyle w:val="BodyText2"/>
        <w:spacing w:lineRule="auto" w:line="480"/>
        <w:ind w:firstLine="720" w:end="0"/>
        <w:jc w:val="both"/>
        <w:rPr>
          <w:b w:val="false"/>
          <w:bCs w:val="false"/>
        </w:rPr>
      </w:pPr>
      <w:r>
        <w:rPr>
          <w:b w:val="false"/>
          <w:bCs w:val="false"/>
        </w:rPr>
        <w:t>Unfortunately, these responsibilities could be interpreted to suggest that the MMC retains a degree of control over the activities of the IMM that present conflicts of interest.  Details of the routine interactions that would be occasioned by the exercise of these responsibilities are not apparent, and as a result the confidence of market participants in the independence of the IMM is liable to be shaken.  It became clear in the stakeholder process referenced above that this is not the intent of the governance structure; at the same time it was apparent, as evidenced by the vigorous discussion of the issue, that stakeholder concerns remain.</w:t>
      </w:r>
    </w:p>
    <w:p>
      <w:pPr>
        <w:pStyle w:val="BodyText2"/>
        <w:spacing w:lineRule="auto" w:line="480"/>
        <w:ind w:firstLine="720" w:end="0"/>
        <w:jc w:val="both"/>
        <w:rPr>
          <w:b w:val="false"/>
          <w:bCs w:val="false"/>
        </w:rPr>
      </w:pPr>
      <w:r>
        <w:rPr>
          <w:b w:val="false"/>
          <w:bCs w:val="false"/>
        </w:rPr>
        <w:t>There is no real need for an MMC as structured.  In the alternative, EPMI respectfully proposes two alternatives to mitigate these concerns regarding the independence of the market monitor.  The preferred alternative is to provide for an MMC constituted of members who are not associated with the RTOs or with any other market participant.  The MMC could be comprised of three members, who shall not have been, at any time within five years of election to the MMC, a director, officer or employee of any market participant or affiliate, including a participating RTO.  While on the MMC a member should have no direct business relationship or other affiliation with a participating RTO, RTO member or any other market participant, nor any other business relationship that could interfere with the exercise of independence.  The members of the MMC should collectively have expertise and experience in the following areas:  economics or finance; energy commodities marketing or trading; electric market design; antitrust law or economics; and energy regulation.  By establishing an MMC that is itself truly independent of participating RTOs and any market participants, confidence in the independence of the IMM will be sustained.</w:t>
      </w:r>
    </w:p>
    <w:p>
      <w:pPr>
        <w:pStyle w:val="BodyText2"/>
        <w:spacing w:lineRule="auto" w:line="480"/>
        <w:ind w:firstLine="720" w:end="0"/>
        <w:jc w:val="both"/>
        <w:rPr>
          <w:b w:val="false"/>
          <w:bCs w:val="false"/>
        </w:rPr>
      </w:pPr>
      <w:r>
        <w:rPr>
          <w:b w:val="false"/>
          <w:bCs w:val="false"/>
        </w:rPr>
        <w:t xml:space="preserve">A second, albeit less acceptable alternative would be to improve the transparency of the MMC’s activities by requiring the documentation of interactions between the IMM and the MMC, and concomitant recourse of market participants to seek remedies in the event they believe that the MMC has unduly interfered with the activities of the IMM.  EPMI suggests that this alternative is less satisfactory on two counts: on the one hand it creates an administrative burden that otherwise would not be required to be endured, and on the other it does not guarantee that undue interference would be adequately noticed.  Nevertheless, in the event that the Commission does not adopt the preferred alternative described in the preceding paragraph, EPMI suggests that transparency be improved with the following modifications to the Plan.  First, the Plan should be modified to ensure that all interactions between the IMM and MMC are noticed, with minutes taken and publicly released.  Second, the Plan should be modified to ensure that all meetings and actions of the MMC, including the MMC’s exercise of its responsibility pursuant to Sections 3.2 (4) and (5) of the Plan to coordinate the evaluation of need for corrective measures and to provide comments on the factual accuracy of the IMM’s reports, are likewise noticed and with minutes prepared and publicly released.  Third, the Plan should be modified to provide market participants the right to seek remedies from the Commission in the event they believe the MMC has attempted to compromise the independence of the IMM.  </w:t>
      </w:r>
    </w:p>
    <w:p>
      <w:pPr>
        <w:pStyle w:val="Normal"/>
        <w:autoSpaceDE w:val="false"/>
        <w:ind w:hanging="360" w:start="1080" w:end="0"/>
        <w:rPr/>
      </w:pPr>
      <w:r>
        <w:rPr>
          <w:b/>
          <w:bCs/>
          <w:szCs w:val="20"/>
        </w:rPr>
        <w:t>3.</w:t>
      </w:r>
      <w:r>
        <w:rPr>
          <w:szCs w:val="20"/>
        </w:rPr>
        <w:t xml:space="preserve">  </w:t>
      </w:r>
      <w:r>
        <w:rPr>
          <w:b/>
          <w:bCs/>
          <w:szCs w:val="20"/>
        </w:rPr>
        <w:t>All investigations, requests for analysis or investigation of the RTO, and reports issued by the IMM of RTO activity should be noticed and released to the public, and its internal policies should likewise be a matter of public record.</w:t>
      </w:r>
    </w:p>
    <w:p>
      <w:pPr>
        <w:pStyle w:val="Footer"/>
        <w:tabs>
          <w:tab w:val="clear" w:pos="4320"/>
          <w:tab w:val="clear" w:pos="8640"/>
        </w:tabs>
        <w:autoSpaceDE w:val="false"/>
        <w:spacing w:lineRule="auto" w:line="480"/>
        <w:rPr>
          <w:b/>
          <w:bCs/>
          <w:szCs w:val="20"/>
        </w:rPr>
      </w:pPr>
      <w:r>
        <w:rPr>
          <w:b/>
          <w:bCs/>
          <w:szCs w:val="20"/>
        </w:rPr>
      </w:r>
    </w:p>
    <w:p>
      <w:pPr>
        <w:pStyle w:val="BodyText2"/>
        <w:spacing w:lineRule="auto" w:line="480"/>
        <w:ind w:firstLine="720" w:end="0"/>
        <w:jc w:val="both"/>
        <w:rPr/>
      </w:pPr>
      <w:r>
        <w:rPr>
          <w:b w:val="false"/>
          <w:bCs w:val="false"/>
        </w:rPr>
        <w:t xml:space="preserve">All investigations, requests for analysis or investigation and IMM reports on the RTO should be noted and released to the public.  While the degree of detail released to the public should vary, </w:t>
      </w:r>
      <w:r>
        <w:rPr>
          <w:b w:val="false"/>
          <w:bCs w:val="false"/>
          <w:u w:val="single"/>
        </w:rPr>
        <w:t>e.g</w:t>
      </w:r>
      <w:r>
        <w:rPr>
          <w:b w:val="false"/>
          <w:bCs w:val="false"/>
        </w:rPr>
        <w:t>. to reflect concerns over confidentiality for market participants or unwarranted impacts on market participants, the availability of public records documenting the IMM’s decisions to pursue investigations of the RTO and the availability of the results of those RTO investigations will increase transparency.  Accordingly, if the IMM were asked to investigate RTO action, or unilaterally chose to do so, the IMM should publicly note that an investigation of the RTO has been requested and/or commenced.  The IMM need not release the name of the requesting party nor the nature of the investigation.  Upon completion of its analysis or the closing of an investigation the IMM should be required to note the event publicly.  Furthermore, the IMM should be required to reveal publicly that it is writing a report on the RTO subsequent to an investigation, and the nature of any investigation should become public upon the release of the IMM’s report.  Finally, IMM reports should be available to all parties simultaneously upon their release.  It should also publicly note that it has completed such analysis and the investigation is closed or that it is writing a report.  When the report is released, the investigation becomes public.</w:t>
      </w:r>
    </w:p>
    <w:p>
      <w:pPr>
        <w:pStyle w:val="BodyText2"/>
        <w:spacing w:lineRule="auto" w:line="480"/>
        <w:ind w:firstLine="720" w:end="0"/>
        <w:jc w:val="both"/>
        <w:rPr>
          <w:b w:val="false"/>
          <w:bCs w:val="false"/>
        </w:rPr>
      </w:pPr>
      <w:r>
        <w:rPr>
          <w:b w:val="false"/>
          <w:bCs w:val="false"/>
        </w:rPr>
        <w:t>EPMI also requests that transparency of the market monitoring process be improved by requiring that all IMM and MMC internal policies be a matter of public record.  Section 4.2 of the Plan, for example, requires that the MMC adopt a policy on conflicts of interest for the IMM that would establish appropriate standards for the IMM’s professional and financial independence.  It also requires that the IMM adopt ethics policies and standards for its employees and subcontractors.  Section 6.5 (a) of the Plan requires that the IMM adopt schedules for the period destruction of information in its possession no longer deemed necessary for the purposes of the Plan.  These and other internal policies and procedures of the IMM and the MMC should be matters of public record.</w:t>
      </w:r>
    </w:p>
    <w:p>
      <w:pPr>
        <w:pStyle w:val="BodyText2"/>
        <w:ind w:hanging="360" w:start="720" w:end="0"/>
        <w:rPr/>
      </w:pPr>
      <w:r>
        <w:rPr/>
        <w:t>D.  Once implemented, IMM and MMC compliance with the measures proposed above in Section B of this pleading should be evaluated annually in an audit process.</w:t>
      </w:r>
    </w:p>
    <w:p>
      <w:pPr>
        <w:pStyle w:val="BodyText2"/>
        <w:spacing w:lineRule="auto" w:line="480"/>
        <w:ind w:start="360" w:end="0"/>
        <w:rPr>
          <w:b w:val="false"/>
          <w:bCs w:val="false"/>
        </w:rPr>
      </w:pPr>
      <w:r>
        <w:rPr>
          <w:b w:val="false"/>
          <w:bCs w:val="false"/>
        </w:rPr>
      </w:r>
    </w:p>
    <w:p>
      <w:pPr>
        <w:pStyle w:val="BodyText2"/>
        <w:spacing w:lineRule="auto" w:line="480"/>
        <w:ind w:firstLine="360" w:end="0"/>
        <w:jc w:val="both"/>
        <w:rPr>
          <w:b w:val="false"/>
          <w:bCs w:val="false"/>
        </w:rPr>
      </w:pPr>
      <w:r>
        <w:rPr>
          <w:b w:val="false"/>
          <w:bCs w:val="false"/>
        </w:rPr>
        <w:t>Independence and transparency are critical hallmarks of an effective market monitoring process.  Market participants must be assured that those aspects of the Plan designed to assure the independence of the IMM and to increase transparency are adequately implemented.  As such, the Plan should be amended to require that the IMM and the MMC are subject to an annual audit to assure their compliance with the Plan.  If market participants retain residual concerns regarding conflicts of interest, as a direct result of an audit or despite the audit, they should have the right to enter into dispute proceedings before FERC as well as to retain other legal remedies. EPMI objects to Section 11 (b) of the Plan, which would provide that disputes as to the implementation of or compliance with the Plan be subject to the dispute resolution procedures of the individual cooperating RTOs.  Sanguine perceptions of the independence of the IMM and the transparency of the market monitoring process require that FERC be the arbiter of any disputes regarding Plan implementation or compliance.</w:t>
      </w:r>
    </w:p>
    <w:p>
      <w:pPr>
        <w:pStyle w:val="Normal"/>
        <w:autoSpaceDE w:val="false"/>
        <w:ind w:hanging="360" w:start="720" w:end="0"/>
        <w:rPr>
          <w:b/>
          <w:bCs/>
          <w:szCs w:val="20"/>
        </w:rPr>
      </w:pPr>
      <w:r>
        <w:rPr>
          <w:b/>
          <w:bCs/>
          <w:szCs w:val="20"/>
        </w:rPr>
        <w:t xml:space="preserve">E.  </w:t>
        <w:tab/>
        <w:t xml:space="preserve">Market Participants should not be required to waive their </w:t>
      </w:r>
      <w:r>
        <w:rPr>
          <w:b/>
          <w:bCs/>
        </w:rPr>
        <w:t>to protest at the Commission the Addendum A list of data.  See Section 6.2.2 (d).</w:t>
      </w:r>
    </w:p>
    <w:p>
      <w:pPr>
        <w:pStyle w:val="Normal"/>
        <w:autoSpaceDE w:val="false"/>
        <w:ind w:start="1080" w:end="0"/>
        <w:rPr>
          <w:b/>
          <w:bCs/>
          <w:szCs w:val="20"/>
        </w:rPr>
      </w:pPr>
      <w:r>
        <w:rPr>
          <w:b/>
          <w:bCs/>
          <w:szCs w:val="20"/>
        </w:rPr>
      </w:r>
    </w:p>
    <w:p>
      <w:pPr>
        <w:pStyle w:val="Normal"/>
        <w:autoSpaceDE w:val="false"/>
        <w:spacing w:lineRule="auto" w:line="480"/>
        <w:ind w:firstLine="720" w:end="0"/>
        <w:jc w:val="both"/>
        <w:rPr>
          <w:szCs w:val="20"/>
        </w:rPr>
      </w:pPr>
      <w:r>
        <w:rPr>
          <w:szCs w:val="20"/>
        </w:rPr>
        <w:t>The Plan requires a Market Participant to agree to provide the Addendum A data to the IMM without the ability to contest the request at the Commission.  This provision should be changed to allow Market Participants the right to contest the request.  The IMM can seek expedited treatment by the Commission; however, it in inappropriate to require Market Participants to waive this right.</w:t>
      </w:r>
    </w:p>
    <w:p>
      <w:pPr>
        <w:pStyle w:val="Normal"/>
        <w:autoSpaceDE w:val="false"/>
        <w:spacing w:lineRule="auto" w:line="480"/>
        <w:ind w:start="360" w:end="0"/>
        <w:rPr>
          <w:b/>
          <w:bCs/>
          <w:szCs w:val="20"/>
        </w:rPr>
      </w:pPr>
      <w:r>
        <w:rPr>
          <w:b/>
          <w:bCs/>
          <w:szCs w:val="20"/>
        </w:rPr>
        <w:t>F.  The Plan should be clarified in several other respects.</w:t>
      </w:r>
    </w:p>
    <w:p>
      <w:pPr>
        <w:pStyle w:val="Normal"/>
        <w:autoSpaceDE w:val="false"/>
        <w:spacing w:lineRule="auto" w:line="480"/>
        <w:ind w:firstLine="720" w:end="0"/>
        <w:jc w:val="both"/>
        <w:rPr>
          <w:b/>
          <w:bCs/>
          <w:szCs w:val="20"/>
        </w:rPr>
      </w:pPr>
      <w:r>
        <w:rPr>
          <w:szCs w:val="20"/>
        </w:rPr>
        <w:t>In the last paragraph of Section 1.1 of the Plan, there is a reference to  “comprehensive information on all the physical and final positions of a participant.”  The word “final” in that phrase should be replaced with the word “financial.”  Section 1.3 of the Plan identifies those persons and entities subject to the Plan.  These should also include transmission owners, independent transmission companies (ITCs) and any other market participant within the footprint of the participating RTOs.</w:t>
      </w:r>
    </w:p>
    <w:p>
      <w:pPr>
        <w:pStyle w:val="TitleStyle"/>
        <w:widowControl/>
        <w:ind w:start="360" w:end="0"/>
        <w:jc w:val="both"/>
        <w:rPr>
          <w:rFonts w:ascii="Times New Roman" w:hAnsi="Times New Roman" w:cs="Times New Roman"/>
          <w:b w:val="false"/>
        </w:rPr>
      </w:pPr>
      <w:r>
        <w:rPr>
          <w:rFonts w:cs="Times New Roman" w:ascii="Times New Roman" w:hAnsi="Times New Roman"/>
          <w:b w:val="false"/>
        </w:rPr>
        <w:tab/>
      </w:r>
      <w:r>
        <w:br w:type="page"/>
      </w:r>
    </w:p>
    <w:p>
      <w:pPr>
        <w:pStyle w:val="Normal"/>
        <w:spacing w:lineRule="auto" w:line="480"/>
        <w:jc w:val="both"/>
        <w:rPr>
          <w:rFonts w:ascii="Times New Roman" w:hAnsi="Times New Roman" w:cs="Times New Roman"/>
          <w:b/>
          <w:bCs/>
        </w:rPr>
      </w:pPr>
      <w:r>
        <w:rPr>
          <w:rFonts w:cs="Times New Roman"/>
          <w:b/>
          <w:bCs/>
        </w:rPr>
      </w:r>
    </w:p>
    <w:p>
      <w:pPr>
        <w:pStyle w:val="BodyTextStyle"/>
        <w:widowControl/>
        <w:spacing w:lineRule="auto" w:line="240"/>
        <w:ind w:hanging="0" w:end="0"/>
        <w:jc w:val="center"/>
        <w:rPr>
          <w:rFonts w:ascii="Times New Roman" w:hAnsi="Times New Roman" w:cs="Times New Roman"/>
          <w:b/>
          <w:bCs/>
        </w:rPr>
      </w:pPr>
      <w:r>
        <w:rPr>
          <w:rFonts w:cs="Times New Roman" w:ascii="Times New Roman" w:hAnsi="Times New Roman"/>
          <w:b/>
          <w:bCs/>
        </w:rPr>
        <w:t>III.</w:t>
      </w:r>
    </w:p>
    <w:p>
      <w:pPr>
        <w:pStyle w:val="Heading2"/>
        <w:ind w:hanging="0" w:end="0"/>
        <w:rPr/>
      </w:pPr>
      <w:r>
        <w:rPr/>
        <w:t>CONCLUSION</w:t>
      </w:r>
    </w:p>
    <w:p>
      <w:pPr>
        <w:pStyle w:val="Normal"/>
        <w:spacing w:lineRule="atLeast" w:line="480"/>
        <w:ind w:firstLine="720" w:end="0"/>
        <w:jc w:val="both"/>
        <w:rPr/>
      </w:pPr>
      <w:r>
        <w:rPr/>
        <w:t>EPMI requests that the Commission initiate a proceeding for the formation of one Midwestern RTO, deferring consideration of Alliance's requested tariff amendments until such a proceeding is under way.  Should Commission decide to consider Alliance's tariff amendments outside of a Midwestern RTO proceeding, EPMI requests that the Commission defer its consideration of such tariff filings until RTO formation in the Midwest to allow the participants to evaluate the full impact of Alliance's proposed OATT changes in light of the formation of a Midwestern RTO.  When the Commission does consider Alliance's proposed Market Monitoring Plan, EMPI requests that the proposal be modified as described herein.</w:t>
      </w:r>
    </w:p>
    <w:p>
      <w:pPr>
        <w:pStyle w:val="Normal"/>
        <w:spacing w:lineRule="atLeast" w:line="480"/>
        <w:jc w:val="both"/>
        <w:rPr/>
      </w:pPr>
      <w:r>
        <w:rPr/>
        <w:tab/>
        <w:tab/>
        <w:tab/>
        <w:tab/>
        <w:tab/>
        <w:tab/>
        <w:t>Respectfully submitted,</w:t>
      </w:r>
    </w:p>
    <w:p>
      <w:pPr>
        <w:pStyle w:val="Normal"/>
        <w:jc w:val="both"/>
        <w:rPr/>
      </w:pPr>
      <w:r>
        <w:rPr/>
        <w:tab/>
      </w:r>
    </w:p>
    <w:p>
      <w:pPr>
        <w:pStyle w:val="Normal"/>
        <w:jc w:val="both"/>
        <w:rPr/>
      </w:pPr>
      <w:r>
        <w:rPr/>
      </w:r>
    </w:p>
    <w:p>
      <w:pPr>
        <w:pStyle w:val="Normal"/>
        <w:jc w:val="both"/>
        <w:rPr/>
      </w:pPr>
      <w:r>
        <w:rPr/>
      </w:r>
    </w:p>
    <w:p>
      <w:pPr>
        <w:pStyle w:val="BodyTextIndent"/>
        <w:spacing w:lineRule="auto" w:line="240"/>
        <w:ind w:start="3600" w:end="0"/>
        <w:rPr>
          <w:u w:val="single"/>
        </w:rPr>
      </w:pPr>
      <w:r>
        <w:rPr>
          <w:u w:val="single"/>
        </w:rPr>
        <w:t xml:space="preserve">/s/ Susan Lindberg_______     </w:t>
      </w:r>
    </w:p>
    <w:p>
      <w:pPr>
        <w:pStyle w:val="BodyTextIndent"/>
        <w:spacing w:lineRule="auto" w:line="240"/>
        <w:ind w:start="3600" w:end="0"/>
        <w:rPr/>
      </w:pPr>
      <w:r>
        <w:rPr/>
        <w:t>Christi L. Nicolay</w:t>
      </w:r>
    </w:p>
    <w:p>
      <w:pPr>
        <w:pStyle w:val="BodyTextIndent"/>
        <w:spacing w:lineRule="auto" w:line="240"/>
        <w:ind w:start="3600" w:end="0"/>
        <w:rPr/>
      </w:pPr>
      <w:r>
        <w:rPr/>
        <w:t>Susan Scott Lindberg</w:t>
      </w:r>
    </w:p>
    <w:p>
      <w:pPr>
        <w:pStyle w:val="Normal"/>
        <w:ind w:firstLine="3600" w:start="720" w:end="0"/>
        <w:jc w:val="both"/>
        <w:rPr/>
      </w:pPr>
      <w:r>
        <w:rPr/>
        <w:t>Federal Regulatory Affairs</w:t>
      </w:r>
    </w:p>
    <w:p>
      <w:pPr>
        <w:pStyle w:val="Normal"/>
        <w:ind w:firstLine="3600" w:start="720" w:end="0"/>
        <w:jc w:val="both"/>
        <w:rPr/>
      </w:pPr>
      <w:r>
        <w:rPr/>
        <w:t>Enron Corp.</w:t>
      </w:r>
    </w:p>
    <w:p>
      <w:pPr>
        <w:pStyle w:val="Normal"/>
        <w:ind w:firstLine="3600" w:start="720" w:end="0"/>
        <w:jc w:val="both"/>
        <w:rPr/>
      </w:pPr>
      <w:r>
        <w:rPr/>
        <w:t>1400 Smith Street</w:t>
      </w:r>
    </w:p>
    <w:p>
      <w:pPr>
        <w:pStyle w:val="Normal"/>
        <w:jc w:val="both"/>
        <w:rPr/>
      </w:pPr>
      <w:r>
        <w:rPr/>
        <w:tab/>
        <w:tab/>
        <w:tab/>
        <w:tab/>
        <w:tab/>
        <w:tab/>
        <w:t>Houston, Texas 77002</w:t>
      </w:r>
    </w:p>
    <w:p>
      <w:pPr>
        <w:pStyle w:val="Normal"/>
        <w:jc w:val="both"/>
        <w:rPr/>
      </w:pPr>
      <w:r>
        <w:rPr/>
        <w:tab/>
        <w:tab/>
        <w:tab/>
        <w:tab/>
        <w:tab/>
        <w:tab/>
        <w:t>(713) 853-0596</w:t>
      </w:r>
    </w:p>
    <w:p>
      <w:pPr>
        <w:pStyle w:val="Normal"/>
        <w:jc w:val="both"/>
        <w:rPr/>
      </w:pPr>
      <w:r>
        <w:rPr/>
        <w:tab/>
        <w:tab/>
        <w:tab/>
        <w:tab/>
        <w:tab/>
        <w:tab/>
      </w:r>
      <w:hyperlink r:id="rId4">
        <w:r>
          <w:rPr>
            <w:rStyle w:val="Hyperlink"/>
          </w:rPr>
          <w:t>susan.lindberg@enron.com</w:t>
        </w:r>
      </w:hyperlink>
    </w:p>
    <w:p>
      <w:pPr>
        <w:pStyle w:val="Normal"/>
        <w:jc w:val="both"/>
        <w:rPr/>
      </w:pPr>
      <w:r>
        <w:rPr/>
      </w:r>
    </w:p>
    <w:p>
      <w:pPr>
        <w:pStyle w:val="Normal"/>
        <w:rPr/>
      </w:pPr>
      <w:r>
        <w:rPr/>
        <w:t>November 19, 2001</w:t>
      </w:r>
      <w:r>
        <w:br w:type="page"/>
      </w:r>
    </w:p>
    <w:p>
      <w:pPr>
        <w:pStyle w:val="Normal"/>
        <w:rPr/>
      </w:pPr>
      <w:r>
        <w:rPr/>
      </w:r>
    </w:p>
    <w:p>
      <w:pPr>
        <w:pStyle w:val="Heading1"/>
        <w:ind w:hanging="0" w:start="0"/>
        <w:rPr/>
      </w:pPr>
      <w:r>
        <w:rPr/>
        <w:t>CERTIFICATE OF SERVICE</w:t>
      </w:r>
    </w:p>
    <w:p>
      <w:pPr>
        <w:pStyle w:val="Normal"/>
        <w:spacing w:lineRule="atLeast" w:line="480"/>
        <w:rPr/>
      </w:pPr>
      <w:r>
        <w:rPr/>
      </w:r>
    </w:p>
    <w:p>
      <w:pPr>
        <w:pStyle w:val="Normal"/>
        <w:spacing w:lineRule="atLeast" w:line="480"/>
        <w:rPr/>
      </w:pPr>
      <w:r>
        <w:rPr/>
        <w:tab/>
        <w:t>Pursuant to Rule 2010 of the Commission's Rules of Practice and Procedure, I hereby certify that I have this day served a copy of the foregoing document on all persons designated on the official service list compiled by the Secretary in this proceeding.</w:t>
      </w:r>
    </w:p>
    <w:p>
      <w:pPr>
        <w:pStyle w:val="Normal"/>
        <w:spacing w:lineRule="atLeast" w:line="480"/>
        <w:rPr/>
      </w:pPr>
      <w:r>
        <w:rPr/>
        <w:tab/>
        <w:t>Dated at Houston, Texas this 19th day of November 2001.</w:t>
      </w:r>
    </w:p>
    <w:p>
      <w:pPr>
        <w:pStyle w:val="Normal"/>
        <w:spacing w:lineRule="atLeast" w:line="480"/>
        <w:rPr/>
      </w:pPr>
      <w:r>
        <w:rPr/>
      </w:r>
    </w:p>
    <w:p>
      <w:pPr>
        <w:pStyle w:val="Normal"/>
        <w:spacing w:lineRule="atLeast" w:line="480"/>
        <w:rPr/>
      </w:pPr>
      <w:r>
        <w:rPr/>
      </w:r>
    </w:p>
    <w:p>
      <w:pPr>
        <w:pStyle w:val="Normal"/>
        <w:rPr/>
      </w:pPr>
      <w:r>
        <w:rPr/>
        <w:tab/>
        <w:tab/>
        <w:tab/>
        <w:tab/>
        <w:tab/>
        <w:tab/>
      </w:r>
      <w:r>
        <w:rPr>
          <w:u w:val="single"/>
        </w:rPr>
        <w:t>/s/  Susan Lindberg</w:t>
      </w:r>
    </w:p>
    <w:p>
      <w:pPr>
        <w:pStyle w:val="Normal"/>
        <w:ind w:firstLine="720" w:start="720" w:end="0"/>
        <w:rPr/>
      </w:pPr>
      <w:r>
        <w:rPr/>
        <w:tab/>
        <w:tab/>
        <w:tab/>
        <w:tab/>
        <w:t>Susan Lindberg</w:t>
      </w:r>
    </w:p>
    <w:p>
      <w:pPr>
        <w:pStyle w:val="Normal"/>
        <w:rPr/>
      </w:pPr>
      <w:r>
        <w:rPr/>
      </w:r>
    </w:p>
    <w:p>
      <w:pPr>
        <w:pStyle w:val="Normal"/>
        <w:rPr/>
      </w:pPr>
      <w:r>
        <w:rPr/>
      </w:r>
    </w:p>
    <w:p>
      <w:pPr>
        <w:pStyle w:val="Normal"/>
        <w:rPr/>
      </w:pPr>
      <w:r>
        <w:rPr/>
      </w:r>
    </w:p>
    <w:p>
      <w:pPr>
        <w:pStyle w:val="Normal"/>
        <w:rPr/>
      </w:pPr>
      <w:r>
        <w:rPr/>
      </w:r>
    </w:p>
    <w:sectPr>
      <w:footerReference w:type="default" r:id="rId5"/>
      <w:footerReference w:type="first" r:id="rId6"/>
      <w:footnotePr>
        <w:numFmt w:val="decimal"/>
      </w:footnotePr>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Galliard">
    <w:altName w:val="Bell M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153035" cy="175260"/>
              <wp:effectExtent l="0" t="0" r="0" b="0"/>
              <wp:wrapSquare wrapText="bothSides"/>
              <wp:docPr id="2"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See Protests of Intervenor Enron Power Marketing, Inc. filed September 17, 2001 and October 9, 2001 in this docket.</w:t>
      </w:r>
    </w:p>
  </w:footnote>
  <w:footnote w:id="3">
    <w:p>
      <w:pPr>
        <w:pStyle w:val="FootnoteText"/>
        <w:rPr/>
      </w:pPr>
      <w:r>
        <w:rPr>
          <w:rStyle w:val="FootnoteCharacters"/>
        </w:rPr>
        <w:footnoteRef/>
      </w:r>
      <w:r>
        <w:rPr/>
        <w:t xml:space="preserve"> </w:t>
      </w:r>
      <w:r>
        <w:rPr/>
        <w:t>For monthly requests, Alliance proposes a time period of 120 days; for weekly requests, 60 days; for daily requests, 14 days.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2"/>
      <w:numFmt w:val="decimal"/>
      <w:lvlText w:val="%1."/>
      <w:lvlJc w:val="start"/>
      <w:pPr>
        <w:tabs>
          <w:tab w:val="num" w:pos="1080"/>
        </w:tabs>
        <w:ind w:start="1080" w:hanging="360"/>
      </w:pPr>
      <w:rPr/>
    </w:lvl>
  </w:abstractNum>
  <w:abstractNum w:abstractNumId="4">
    <w:lvl w:ilvl="0">
      <w:start w:val="1"/>
      <w:numFmt w:val="bullet"/>
      <w:lvlText w:val=""/>
      <w:lvlJc w:val="start"/>
      <w:pPr>
        <w:tabs>
          <w:tab w:val="num" w:pos="1440"/>
        </w:tabs>
        <w:ind w:start="144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lineRule="atLeast" w:line="480"/>
      <w:jc w:val="center"/>
      <w:outlineLvl w:val="0"/>
    </w:pPr>
    <w:rPr>
      <w:b/>
      <w:bCs/>
    </w:rPr>
  </w:style>
  <w:style w:type="paragraph" w:styleId="Heading2">
    <w:name w:val="heading 2"/>
    <w:basedOn w:val="Normal"/>
    <w:next w:val="Normal"/>
    <w:qFormat/>
    <w:pPr>
      <w:keepNext w:val="true"/>
      <w:numPr>
        <w:ilvl w:val="1"/>
        <w:numId w:val="1"/>
      </w:numPr>
      <w:spacing w:lineRule="auto" w:line="480"/>
      <w:ind w:firstLine="720" w:start="0" w:end="0"/>
      <w:jc w:val="center"/>
      <w:outlineLvl w:val="1"/>
    </w:pPr>
    <w:rPr>
      <w:b/>
      <w:u w:val="single"/>
    </w:rPr>
  </w:style>
  <w:style w:type="paragraph" w:styleId="Heading3">
    <w:name w:val="heading 3"/>
    <w:basedOn w:val="Normal"/>
    <w:next w:val="Normal"/>
    <w:qFormat/>
    <w:pPr>
      <w:keepNext w:val="true"/>
      <w:numPr>
        <w:ilvl w:val="2"/>
        <w:numId w:val="1"/>
      </w:numPr>
      <w:jc w:val="center"/>
      <w:outlineLvl w:val="2"/>
    </w:pPr>
    <w:rPr>
      <w:b/>
      <w:bCs/>
      <w:u w:val="single"/>
    </w:rPr>
  </w:style>
  <w:style w:type="paragraph" w:styleId="Heading4">
    <w:name w:val="heading 4"/>
    <w:basedOn w:val="Normal"/>
    <w:next w:val="Normal"/>
    <w:qFormat/>
    <w:pPr>
      <w:keepNext w:val="true"/>
      <w:numPr>
        <w:ilvl w:val="3"/>
        <w:numId w:val="1"/>
      </w:numPr>
      <w:spacing w:lineRule="atLeast" w:line="480"/>
      <w:jc w:val="both"/>
      <w:outlineLvl w:val="3"/>
    </w:pPr>
    <w:rPr>
      <w:b/>
      <w:bCs/>
    </w:rPr>
  </w:style>
  <w:style w:type="paragraph" w:styleId="Heading5">
    <w:name w:val="heading 5"/>
    <w:basedOn w:val="Normal"/>
    <w:next w:val="Normal"/>
    <w:qFormat/>
    <w:pPr>
      <w:keepNext w:val="true"/>
      <w:numPr>
        <w:ilvl w:val="4"/>
        <w:numId w:val="1"/>
      </w:numPr>
      <w:jc w:val="center"/>
      <w:outlineLvl w:val="4"/>
    </w:pPr>
    <w:rPr>
      <w:b/>
      <w:bCs/>
      <w:sz w:val="28"/>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cs="Times New Roman"/>
    </w:rPr>
  </w:style>
  <w:style w:type="character" w:styleId="WW8Num5z0">
    <w:name w:val="WW8Num5z0"/>
    <w:qFormat/>
    <w:rPr/>
  </w:style>
  <w:style w:type="character" w:styleId="WW8Num6z0">
    <w:name w:val="WW8Num6z0"/>
    <w:qFormat/>
    <w:rPr/>
  </w:style>
  <w:style w:type="character" w:styleId="WW8Num7z0">
    <w:name w:val="WW8Num7z0"/>
    <w:qFormat/>
    <w:rPr>
      <w:rFonts w:ascii="Symbol" w:hAnsi="Symbol" w:cs="Symbol"/>
    </w:rPr>
  </w:style>
  <w:style w:type="character" w:styleId="WW8Num7z1">
    <w:name w:val="WW8Num7z1"/>
    <w:qFormat/>
    <w:rPr>
      <w:rFonts w:ascii="Times New Roman" w:hAnsi="Times New Roman" w:eastAsia="Times New Roman" w:cs="Times New Roman"/>
    </w:rPr>
  </w:style>
  <w:style w:type="character" w:styleId="WW8Num7z2">
    <w:name w:val="WW8Num7z2"/>
    <w:qFormat/>
    <w:rPr>
      <w:rFonts w:ascii="Wingdings" w:hAnsi="Wingdings" w:cs="Wingdings"/>
    </w:rPr>
  </w:style>
  <w:style w:type="character" w:styleId="WW8Num7z4">
    <w:name w:val="WW8Num7z4"/>
    <w:qFormat/>
    <w:rPr>
      <w:rFonts w:ascii="Courier New" w:hAnsi="Courier New" w:cs="Courier New"/>
    </w:rPr>
  </w:style>
  <w:style w:type="character" w:styleId="WW8Num8z0">
    <w:name w:val="WW8Num8z0"/>
    <w:qFormat/>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rPr>
  </w:style>
  <w:style w:type="paragraph" w:styleId="BodyText">
    <w:name w:val="Body Text"/>
    <w:basedOn w:val="Normal"/>
    <w:pPr>
      <w:tabs>
        <w:tab w:val="center" w:pos="720" w:leader="none"/>
      </w:tabs>
      <w:spacing w:lineRule="auto"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enter">
    <w:name w:val="Center"/>
    <w:basedOn w:val="Normal"/>
    <w:qFormat/>
    <w:pPr>
      <w:widowControl w:val="false"/>
      <w:spacing w:lineRule="exact" w:line="260" w:before="260" w:after="0"/>
      <w:jc w:val="center"/>
    </w:pPr>
    <w:rPr>
      <w:rFonts w:ascii="Galliard;Bell MT" w:hAnsi="Galliard;Bell MT" w:cs="Galliard;Bell MT"/>
      <w:szCs w:val="20"/>
    </w:rPr>
  </w:style>
  <w:style w:type="paragraph" w:styleId="TitleStyle">
    <w:name w:val="Title Style"/>
    <w:basedOn w:val="Normal"/>
    <w:qFormat/>
    <w:pPr>
      <w:widowControl w:val="false"/>
      <w:jc w:val="center"/>
    </w:pPr>
    <w:rPr>
      <w:rFonts w:ascii="Galliard;Bell MT" w:hAnsi="Galliard;Bell MT" w:cs="Galliard;Bell MT"/>
      <w:b/>
      <w:caps/>
      <w:szCs w:val="20"/>
    </w:rPr>
  </w:style>
  <w:style w:type="paragraph" w:styleId="BodyTextIndent">
    <w:name w:val="Body Text Indent"/>
    <w:basedOn w:val="Normal"/>
    <w:pPr>
      <w:spacing w:lineRule="auto" w:line="480"/>
      <w:ind w:firstLine="720" w:start="0" w:end="0"/>
      <w:jc w:val="both"/>
    </w:pPr>
    <w:rPr/>
  </w:style>
  <w:style w:type="paragraph" w:styleId="BodyTextStyle">
    <w:name w:val="Body Text Style"/>
    <w:basedOn w:val="Normal"/>
    <w:qFormat/>
    <w:pPr>
      <w:widowControl w:val="false"/>
      <w:spacing w:lineRule="exact" w:line="520"/>
      <w:ind w:firstLine="1080" w:start="0" w:end="0"/>
    </w:pPr>
    <w:rPr>
      <w:rFonts w:ascii="Galliard;Bell MT" w:hAnsi="Galliard;Bell MT" w:cs="Galliard;Bell MT"/>
      <w:szCs w:val="20"/>
    </w:rPr>
  </w:style>
  <w:style w:type="paragraph" w:styleId="FootnoteText">
    <w:name w:val="footnote text"/>
    <w:basedOn w:val="Normal"/>
    <w:pPr/>
    <w:rPr>
      <w:sz w:val="20"/>
      <w:szCs w:val="20"/>
    </w:rPr>
  </w:style>
  <w:style w:type="paragraph" w:styleId="BodyText2">
    <w:name w:val="Body Text 2"/>
    <w:basedOn w:val="Normal"/>
    <w:qFormat/>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rPr>
      <w:b/>
      <w:bCs/>
    </w:rPr>
  </w:style>
  <w:style w:type="paragraph" w:styleId="BodyTextIndent2">
    <w:name w:val="Body Text Indent 2"/>
    <w:basedOn w:val="Normal"/>
    <w:qFormat/>
    <w:pPr>
      <w:autoSpaceDE w:val="false"/>
      <w:ind w:firstLine="720" w:start="0" w:end="0"/>
    </w:pPr>
    <w:rPr>
      <w:b/>
      <w:bCs/>
      <w:sz w:val="26"/>
    </w:rPr>
  </w:style>
  <w:style w:type="paragraph" w:styleId="BodyTextIndent3">
    <w:name w:val="Body Text Indent 3"/>
    <w:basedOn w:val="Normal"/>
    <w:qFormat/>
    <w:pPr>
      <w:autoSpaceDE w:val="false"/>
      <w:ind w:hanging="0" w:start="720" w:end="0"/>
    </w:pPr>
    <w:rPr>
      <w:rFonts w:cs="Arial"/>
      <w:b/>
      <w:bCs/>
      <w:sz w:val="26"/>
      <w:szCs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yperlink" Target="mailto:susan.lindberg@enron.com"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2001-11-15T20:08:00Z</dcterms:created>
  <dc:creator>Susan Lindberg</dc:creator>
  <dc:description/>
  <dc:language>en-CA</dc:language>
  <cp:lastModifiedBy>Susan Lindberg</cp:lastModifiedBy>
  <cp:lastPrinted>2001-11-15T10:11:00Z</cp:lastPrinted>
  <dcterms:modified xsi:type="dcterms:W3CDTF">2001-11-19T17:36:00Z</dcterms:modified>
  <cp:revision>5</cp:revision>
  <dc:subject/>
  <dc:title>UNITED STATES OF AMERICA</dc:title>
</cp:coreProperties>
</file>