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FootnoteCharacters"/>
          <w:b/>
        </w:rPr>
        <w:t>UNITED STATES OF AMERICA</w:t>
      </w:r>
    </w:p>
    <w:p>
      <w:pPr>
        <w:pStyle w:val="Normal"/>
        <w:jc w:val="center"/>
        <w:rPr/>
      </w:pPr>
      <w:r>
        <w:rPr>
          <w:rStyle w:val="FootnoteCharacters"/>
          <w:b/>
        </w:rPr>
        <w:t>BEFORE THE</w:t>
      </w:r>
    </w:p>
    <w:p>
      <w:pPr>
        <w:pStyle w:val="Normal"/>
        <w:jc w:val="center"/>
        <w:rPr>
          <w:rStyle w:val="FootnoteCharacters"/>
        </w:rPr>
      </w:pPr>
      <w:r>
        <w:rPr>
          <w:rStyle w:val="FootnoteCharacters"/>
          <w:b/>
        </w:rPr>
        <w:t>FEDERAL ENERGY REGULATORY COMMISSION</w:t>
      </w:r>
    </w:p>
    <w:p>
      <w:pPr>
        <w:pStyle w:val="Normal"/>
        <w:jc w:val="center"/>
        <w:rPr>
          <w:rStyle w:val="FootnoteCharacters"/>
        </w:rPr>
      </w:pPr>
      <w:r>
        <w:rPr/>
      </w:r>
    </w:p>
    <w:p>
      <w:pPr>
        <w:pStyle w:val="Normal"/>
        <w:jc w:val="both"/>
        <w:rPr>
          <w:rStyle w:val="FootnoteCharacters"/>
        </w:rPr>
      </w:pPr>
      <w:r>
        <w:rPr/>
      </w:r>
    </w:p>
    <w:p>
      <w:pPr>
        <w:pStyle w:val="Normal"/>
        <w:jc w:val="both"/>
        <w:rPr>
          <w:rStyle w:val="FootnoteCharacters"/>
        </w:rPr>
      </w:pPr>
      <w:r>
        <w:rPr/>
      </w:r>
    </w:p>
    <w:p>
      <w:pPr>
        <w:pStyle w:val="Normal"/>
        <w:jc w:val="both"/>
        <w:rPr/>
      </w:pPr>
      <w:r>
        <w:rPr/>
        <w:t>Standardizing Generator Interconnection</w:t>
        <w:tab/>
        <w:t>)</w:t>
      </w:r>
    </w:p>
    <w:p>
      <w:pPr>
        <w:pStyle w:val="Normal"/>
        <w:rPr/>
      </w:pPr>
      <w:r>
        <w:rPr/>
        <w:t>Agreements And Procedures</w:t>
        <w:tab/>
        <w:tab/>
        <w:tab/>
      </w:r>
      <w:r>
        <w:rPr>
          <w:rStyle w:val="FootnoteCharacters"/>
        </w:rPr>
        <w:t>)</w:t>
        <w:tab/>
        <w:tab/>
        <w:tab/>
        <w:t>Docket No. RM0</w:t>
      </w:r>
      <w:r>
        <w:rPr/>
        <w:t>2</w:t>
      </w:r>
      <w:r>
        <w:rPr>
          <w:rStyle w:val="FootnoteCharacters"/>
        </w:rPr>
        <w:t>-</w:t>
      </w:r>
      <w:r>
        <w:rPr/>
        <w:t>1</w:t>
      </w:r>
      <w:r>
        <w:rPr>
          <w:rStyle w:val="FootnoteCharacters"/>
        </w:rPr>
        <w:t>-000</w:t>
      </w:r>
    </w:p>
    <w:p>
      <w:pPr>
        <w:pStyle w:val="Normal"/>
        <w:ind w:firstLine="720" w:start="1440" w:end="0"/>
        <w:jc w:val="both"/>
        <w:rPr/>
      </w:pPr>
      <w:r>
        <w:rPr>
          <w:rStyle w:val="FootnoteCharacters"/>
        </w:rPr>
        <w:tab/>
        <w:tab/>
        <w:tab/>
        <w:tab/>
        <w:t xml:space="preserve">    </w:t>
      </w:r>
    </w:p>
    <w:p>
      <w:pPr>
        <w:pStyle w:val="Normal"/>
        <w:ind w:firstLine="720" w:start="1440" w:end="0"/>
        <w:jc w:val="both"/>
        <w:rPr>
          <w:rStyle w:val="FootnoteCharacters"/>
        </w:rPr>
      </w:pPr>
      <w:r>
        <w:rPr/>
      </w:r>
    </w:p>
    <w:p>
      <w:pPr>
        <w:pStyle w:val="Normal"/>
        <w:jc w:val="both"/>
        <w:rPr>
          <w:rStyle w:val="FootnoteCharacters"/>
        </w:rPr>
      </w:pPr>
      <w:r>
        <w:rPr/>
      </w:r>
    </w:p>
    <w:p>
      <w:pPr>
        <w:pStyle w:val="Normal"/>
        <w:jc w:val="center"/>
        <w:rPr>
          <w:rStyle w:val="FootnoteCharacters"/>
          <w:b/>
        </w:rPr>
      </w:pPr>
      <w:r>
        <w:rPr>
          <w:rStyle w:val="FootnoteCharacters"/>
          <w:b/>
        </w:rPr>
        <w:t xml:space="preserve">COMMENTS OF THE </w:t>
      </w:r>
      <w:r>
        <w:rPr>
          <w:b/>
        </w:rPr>
        <w:t>ALLIANCE OF ENERGY SUPPLIERS</w:t>
      </w:r>
    </w:p>
    <w:p>
      <w:pPr>
        <w:pStyle w:val="Normal"/>
        <w:rPr>
          <w:rStyle w:val="FootnoteCharacters"/>
          <w:b/>
        </w:rPr>
      </w:pPr>
      <w:r>
        <w:rPr/>
      </w:r>
    </w:p>
    <w:p>
      <w:pPr>
        <w:pStyle w:val="Normal"/>
        <w:rPr>
          <w:rStyle w:val="FootnoteCharacters"/>
        </w:rPr>
      </w:pPr>
      <w:r>
        <w:rPr/>
      </w:r>
    </w:p>
    <w:p>
      <w:pPr>
        <w:pStyle w:val="Normal"/>
        <w:spacing w:lineRule="auto" w:line="480"/>
        <w:ind w:firstLine="720" w:end="0"/>
        <w:jc w:val="both"/>
        <w:rPr/>
      </w:pPr>
      <w:r>
        <w:rPr>
          <w:rStyle w:val="FootnoteCharacters"/>
        </w:rPr>
        <w:t xml:space="preserve">The </w:t>
      </w:r>
      <w:r>
        <w:rPr/>
        <w:t>Alliance of Energy Suppliers</w:t>
      </w:r>
      <w:r>
        <w:rPr>
          <w:rStyle w:val="FootnoteCharacters"/>
        </w:rPr>
        <w:t xml:space="preserve"> (</w:t>
      </w:r>
      <w:r>
        <w:rPr/>
        <w:t>“The Alliance”</w:t>
      </w:r>
      <w:r>
        <w:rPr>
          <w:rStyle w:val="FootnoteCharacters"/>
        </w:rPr>
        <w:t xml:space="preserve">) hereby tenders </w:t>
      </w:r>
      <w:r>
        <w:rPr/>
        <w:t xml:space="preserve">its </w:t>
      </w:r>
      <w:r>
        <w:rPr>
          <w:rStyle w:val="FootnoteCharacters"/>
        </w:rPr>
        <w:t xml:space="preserve">comments in response to the Federal Energy Regulatory Commission’s (“Commission”) </w:t>
      </w:r>
      <w:r>
        <w:rPr/>
        <w:t xml:space="preserve">Advanced </w:t>
      </w:r>
      <w:r>
        <w:rPr>
          <w:rStyle w:val="FootnoteCharacters"/>
        </w:rPr>
        <w:t>Notice of Proposed Rulemaking (</w:t>
      </w:r>
      <w:r>
        <w:rPr/>
        <w:t>“A</w:t>
      </w:r>
      <w:r>
        <w:rPr>
          <w:rStyle w:val="FootnoteCharacters"/>
        </w:rPr>
        <w:t>NOPR</w:t>
      </w:r>
      <w:r>
        <w:rPr/>
        <w:t>”</w:t>
      </w:r>
      <w:r>
        <w:rPr>
          <w:rStyle w:val="FootnoteCharacters"/>
        </w:rPr>
        <w:t xml:space="preserve">) regarding </w:t>
      </w:r>
      <w:r>
        <w:rPr/>
        <w:t>Standardizing Generator Interconnection Agreements and Procedures</w:t>
      </w:r>
      <w:r>
        <w:rPr>
          <w:rStyle w:val="FootnoteCharacters"/>
        </w:rPr>
        <w:t xml:space="preserve">, issued on October 25, 2001 in the above referenced docket. </w:t>
      </w:r>
    </w:p>
    <w:p>
      <w:pPr>
        <w:pStyle w:val="BodyTextIndent2"/>
        <w:jc w:val="both"/>
        <w:rPr>
          <w:rStyle w:val="FootnoteCharacters"/>
        </w:rPr>
      </w:pPr>
      <w:r>
        <w:rPr/>
        <w:t>T</w:t>
      </w:r>
      <w:r>
        <w:rPr>
          <w:rStyle w:val="FootnoteCharacters"/>
        </w:rPr>
        <w:t xml:space="preserve">he Alliance represents independent power producers, power marketers </w:t>
      </w:r>
      <w:r>
        <w:rPr/>
        <w:t xml:space="preserve">and affiliated </w:t>
      </w:r>
      <w:r>
        <w:rPr>
          <w:rStyle w:val="FootnoteCharacters"/>
        </w:rPr>
        <w:t xml:space="preserve">generators in the United States’ wholesale electricity markets.  </w:t>
      </w:r>
      <w:r>
        <w:rPr/>
        <w:t xml:space="preserve">The Alliance is a division of the Edison Electric Institute (“EEI”), </w:t>
      </w:r>
      <w:r>
        <w:rPr>
          <w:rStyle w:val="FootnoteCharacters"/>
        </w:rPr>
        <w:t>the association of investor-owned electric utilities and industry affiliates and associates worldwide</w:t>
      </w:r>
      <w:r>
        <w:rPr/>
        <w:t>.</w:t>
      </w:r>
      <w:r>
        <w:rPr>
          <w:rStyle w:val="FootnoteCharacters"/>
        </w:rPr>
        <w:t xml:space="preserve"> </w:t>
      </w:r>
      <w:r>
        <w:rPr/>
        <w:t xml:space="preserve">The </w:t>
      </w:r>
      <w:r>
        <w:rPr>
          <w:rStyle w:val="FootnoteCharacters"/>
        </w:rPr>
        <w:t>U.S. members</w:t>
      </w:r>
      <w:r>
        <w:rPr/>
        <w:t xml:space="preserve"> of EEI</w:t>
      </w:r>
      <w:r>
        <w:rPr>
          <w:rStyle w:val="FootnoteCharacters"/>
        </w:rPr>
        <w:t xml:space="preserve"> serve nearly 95 percent of all customers served by the investor-owned segment of the </w:t>
      </w:r>
      <w:r>
        <w:rPr/>
        <w:t xml:space="preserve">U.S. </w:t>
      </w:r>
      <w:r>
        <w:rPr>
          <w:rStyle w:val="FootnoteCharacters"/>
        </w:rPr>
        <w:t>electric utility industry.  They generate almost 70 percent of all the electricity generated by electric utilities in the country and serve about 70 percent of all ultimate customers in the nation.  EEI and Alliance members own and operate the majority of the generation facilities in th</w:t>
      </w:r>
      <w:r>
        <w:rPr/>
        <w:t>e United States.</w:t>
      </w:r>
    </w:p>
    <w:p>
      <w:pPr>
        <w:pStyle w:val="Normal"/>
        <w:spacing w:lineRule="auto" w:line="480"/>
        <w:ind w:firstLine="720" w:end="0"/>
        <w:jc w:val="both"/>
        <w:rPr>
          <w:rStyle w:val="FootnoteCharacters"/>
        </w:rPr>
      </w:pPr>
      <w:r>
        <w:rPr/>
      </w:r>
    </w:p>
    <w:p>
      <w:pPr>
        <w:pStyle w:val="Heading2"/>
        <w:ind w:hanging="0" w:start="0"/>
        <w:jc w:val="both"/>
        <w:rPr>
          <w:u w:val="single"/>
        </w:rPr>
      </w:pPr>
      <w:r>
        <w:rPr/>
        <w:t xml:space="preserve">I. </w:t>
        <w:tab/>
        <w:t>Executive Summary</w:t>
      </w:r>
    </w:p>
    <w:p>
      <w:pPr>
        <w:pStyle w:val="BodyTextIndent"/>
        <w:ind w:firstLine="720" w:end="0"/>
        <w:jc w:val="both"/>
        <w:rPr/>
      </w:pPr>
      <w:r>
        <w:rPr>
          <w:b/>
        </w:rPr>
        <w:tab/>
      </w:r>
      <w:r>
        <w:rPr/>
        <w:t xml:space="preserve">The Alliance enthusiastically supports the Commission’s stated objectives in this proceeding to: (1) realize the benefits of open access transmission service by establishing transparent interconnection procedures that will encourage needed investment in infrastructure;  (2) remove incentives for transmission providers to favor their own generation; (3) provide the right incentives for generators, ease entry for competitors, and encourage efficient siting decisions; and (4) adopt a national standard interconnection agreement and set of procedures that would be applicable to all regulated entities that own, operate or control transmission facilities under the Federal Power Act. </w:t>
      </w:r>
    </w:p>
    <w:p>
      <w:pPr>
        <w:pStyle w:val="BodyTextIndent"/>
        <w:ind w:firstLine="720" w:end="0"/>
        <w:jc w:val="both"/>
        <w:rPr/>
      </w:pPr>
      <w:r>
        <w:rPr/>
        <w:tab/>
        <w:t xml:space="preserve">The Alliance believes the Commission has properly recognized the difficulties generators face in obtaining interconnection service.  The Alliance further believes that these difficulties, and the dissatisfaction and uncertainty with existing interconnection policy and procedures, have resulted in less investment in new generation infrastructure in certain parts of the United States and a less competitive market for generation. </w:t>
      </w:r>
    </w:p>
    <w:p>
      <w:pPr>
        <w:pStyle w:val="BodyTextIndent"/>
        <w:ind w:firstLine="720" w:end="0"/>
        <w:jc w:val="both"/>
        <w:rPr/>
      </w:pPr>
      <w:r>
        <w:rPr/>
        <w:tab/>
        <w:t>The Alliance is certain that the Commission will achieve its expressed objectives if it adopts a national standard interconnection agreement and procedures, reflecting a balance of the interests of generation developers, transmission providers and other users of the transmission system.  Such a national standard would facilitate the development of both new generation and transmission infrastructure and benefit all electricity consumers in the United States.</w:t>
      </w:r>
    </w:p>
    <w:p>
      <w:pPr>
        <w:pStyle w:val="BodyTextIndent"/>
        <w:ind w:firstLine="720" w:end="0"/>
        <w:jc w:val="both"/>
        <w:rPr/>
      </w:pPr>
      <w:r>
        <w:rPr/>
      </w:r>
    </w:p>
    <w:p>
      <w:pPr>
        <w:pStyle w:val="BodyTextIndent"/>
        <w:spacing w:lineRule="auto" w:line="240"/>
        <w:ind w:hanging="360" w:start="360" w:end="0"/>
        <w:jc w:val="both"/>
        <w:rPr>
          <w:b/>
        </w:rPr>
      </w:pPr>
      <w:r>
        <w:rPr>
          <w:b/>
        </w:rPr>
        <w:t>II.</w:t>
        <w:tab/>
        <w:t>The Alliance Has Been An Active Proponent Of A National Standard Interconnection Procedures and Interconnection Agreement</w:t>
      </w:r>
    </w:p>
    <w:p>
      <w:pPr>
        <w:pStyle w:val="BodyTextIndent"/>
        <w:ind w:firstLine="720" w:end="0"/>
        <w:jc w:val="both"/>
        <w:rPr>
          <w:b/>
        </w:rPr>
      </w:pPr>
      <w:r>
        <w:rPr>
          <w:b/>
        </w:rPr>
      </w:r>
    </w:p>
    <w:p>
      <w:pPr>
        <w:pStyle w:val="BodyTextIndent"/>
        <w:ind w:firstLine="720" w:end="0"/>
        <w:jc w:val="both"/>
        <w:rPr/>
      </w:pPr>
      <w:r>
        <w:rPr/>
        <w:t>The Alliance is committed to the development of national standards for generator interconnection.  In advance of the ANOPR and with the encouragement of the Commission, The Alliance, along with its sister organization the EEI Energy Delivery Group, commissioned a model interconnection agreement and set of procedures reflecting input from representatives from the transmission provider and generator segments of the electricity industry.  These model agreement and procedures were presented to the Commission for its consideration prior to the issuance of the ANOPR and have formed the basis for discussion between various industry participants in the subsequent consensus-development ANOPR proceedings (the “Consensus Process”).</w:t>
      </w:r>
    </w:p>
    <w:p>
      <w:pPr>
        <w:pStyle w:val="BodyTextIndent"/>
        <w:ind w:firstLine="720" w:end="0"/>
        <w:jc w:val="both"/>
        <w:rPr/>
      </w:pPr>
      <w:r>
        <w:rPr/>
        <w:t>The Alliance supports the Consensus Process and has participated in all its aspects, including involvement in the intensive Interconnection Agreement Drafting Group (“IA Drafting Group”) and Interconnection Procedures Drafting Group (“IP Drafting Group”).   The Alliance believes that the draft Interconnection Agreement (“Draft IA”) and draft Interconnection Procedures (“Draft IP”) produced by the Consensus Process and filed with the Commission on January 11, 2002 in this docket represent a significant step towards the achievement of industry-wide consensus on nationally applicable terms and conditions of interconnection.</w:t>
      </w:r>
    </w:p>
    <w:p>
      <w:pPr>
        <w:pStyle w:val="BodyTextIndent"/>
        <w:ind w:firstLine="720" w:end="0"/>
        <w:jc w:val="both"/>
        <w:rPr/>
      </w:pPr>
      <w:r>
        <w:rPr/>
        <w:t>While differences persist between generators and transmission providers, the ANOPR process served to highlight the differences for the benefit of the Commission.  The filed documents, though incomplete in certain respects, expose in stark relief these differences in the form of competing proposals offered by generators and transmission providers.  The Alliance urges the Commission to adopt the generator-supported options to achieve the stated goals of the ANOPR.</w:t>
      </w:r>
    </w:p>
    <w:p>
      <w:pPr>
        <w:pStyle w:val="BodyTextIndent"/>
        <w:ind w:firstLine="720" w:end="0"/>
        <w:jc w:val="both"/>
        <w:rPr/>
      </w:pPr>
      <w:r>
        <w:rPr/>
      </w:r>
    </w:p>
    <w:p>
      <w:pPr>
        <w:pStyle w:val="BodyTextIndent"/>
        <w:spacing w:lineRule="auto" w:line="240"/>
        <w:ind w:hanging="720" w:start="720" w:end="0"/>
        <w:jc w:val="both"/>
        <w:rPr/>
      </w:pPr>
      <w:r>
        <w:rPr>
          <w:rStyle w:val="FootnoteCharacters"/>
          <w:b/>
        </w:rPr>
        <w:t>I</w:t>
      </w:r>
      <w:r>
        <w:rPr>
          <w:b/>
        </w:rPr>
        <w:t>II</w:t>
      </w:r>
      <w:r>
        <w:rPr>
          <w:rStyle w:val="FootnoteCharacters"/>
          <w:b/>
        </w:rPr>
        <w:t>.</w:t>
        <w:tab/>
        <w:t>Comments</w:t>
      </w:r>
      <w:r>
        <w:rPr>
          <w:b/>
        </w:rPr>
        <w:t xml:space="preserve"> on the Standard Generator Interconnection Procedures Prepared By The Interconnection Procedures Drafting Group</w:t>
        <w:tab/>
        <w:tab/>
        <w:tab/>
        <w:tab/>
        <w:tab/>
        <w:tab/>
        <w:tab/>
      </w:r>
    </w:p>
    <w:p>
      <w:pPr>
        <w:pStyle w:val="Normal"/>
        <w:numPr>
          <w:ilvl w:val="0"/>
          <w:numId w:val="3"/>
        </w:numPr>
        <w:tabs>
          <w:tab w:val="left" w:pos="720" w:leader="none"/>
        </w:tabs>
        <w:spacing w:lineRule="auto" w:line="480" w:before="120" w:after="120"/>
        <w:ind w:hanging="360" w:start="720" w:end="0"/>
        <w:jc w:val="both"/>
        <w:rPr/>
      </w:pPr>
      <w:r>
        <w:rPr>
          <w:u w:val="single"/>
        </w:rPr>
        <w:t>Regional, Market and Geographic Differences</w:t>
      </w:r>
      <w:r>
        <w:rPr>
          <w:i/>
        </w:rPr>
        <w:t>.</w:t>
      </w:r>
      <w:r>
        <w:rPr/>
        <w:t xml:space="preserve"> The establishment by the Commission of a standardized set of rules for the interconnection of new generation will provide electric industry participants (generators, transmission providers, and other users of the system) the certainty critical to investment in new generation and transmission facilities anywhere in the United States.  This uniformity of treatment is particularly important as generators increasingly are developing national fleets of facilities.  Nonetheless, many participants in the ANOPR process have alleged that owing to differences in geography or existing market structures, they must be free to disregard the standard interconnection terms eventually established by the Commission.  The Alliance recognizes that indeed, in some cases, standard interconnection procedures or a standard interconnection agreement may need modification in order to take into account unique technical or system differences.  However, The Alliance strongly believes that all public utilities that own, operate or control transmission facilities subject to regulation under the Federal Power Act must be required to adopt the standard interconnection procedures and standard interconnection agreement.  Such standard terms ought presumptively to apply, subject to rebuttal by the entity claiming inapplicability.  This is exactly how the Commission treats similar “standard” or “</w:t>
      </w:r>
      <w:r>
        <w:rPr>
          <w:i/>
        </w:rPr>
        <w:t>pro forma</w:t>
      </w:r>
      <w:r>
        <w:rPr/>
        <w:t xml:space="preserve">” utility obligations.  While The Alliance is willing to accept necessary changes to any standard interconnection agreement or interconnection procedures developed by the Commission, the Commission must ensure that deviations are demonstrably unavoidable and otherwise truly warranted.  To do otherwise will risk the creation of a patchwork of procedures and agreements that will defeat the Commission’s expressed intentions in establishing this rulemaking proceeding. </w:t>
      </w:r>
    </w:p>
    <w:p>
      <w:pPr>
        <w:pStyle w:val="Normal"/>
        <w:numPr>
          <w:ilvl w:val="0"/>
          <w:numId w:val="3"/>
        </w:numPr>
        <w:tabs>
          <w:tab w:val="left" w:pos="720" w:leader="none"/>
        </w:tabs>
        <w:spacing w:lineRule="auto" w:line="480" w:before="120" w:after="120"/>
        <w:ind w:hanging="360" w:start="720" w:end="0"/>
        <w:jc w:val="both"/>
        <w:rPr/>
      </w:pPr>
      <w:r>
        <w:rPr>
          <w:u w:val="single"/>
        </w:rPr>
        <w:t>Queue Management</w:t>
      </w:r>
      <w:r>
        <w:rPr/>
        <w:t xml:space="preserve">.  The Alliance recognizes that queue management is a significant and broad issue for the industry, encompassing a variety of interests.  The Alliance supports the package of proposals offered by generators in the Draft IP in which generators agree to make manifest their commitment to the interconnection process in consideration for flexibility in designing and installing a cost-effective and electrically efficient interconnection configuration. Only such a balance can truly afford the U.S. generating industry, comprising a mix of large, mid-sized and small developers, the ability to undertake the significant capital investments necessary for the development of new generation.  The Alliance supports the principle that only such modifications that have an adverse effect on other generators in the queue should be treated as new requests and dispatched to the end of the queue.  The Alliance urges the Commission to consider queue management as a broad issue and the Commission must balance its various constitutive elements including: interconnection design optionality, the cooperation of transmission providers in assessing generator requests for modifications, the comprehensiveness and timeliness of interconnection studies, the generator’s ability to request optional studies (to eliminate certain earlier-queued projects from the analysis, for example) and other matters critical to the management of queued interconnection requests. </w:t>
      </w:r>
    </w:p>
    <w:p>
      <w:pPr>
        <w:pStyle w:val="Normal"/>
        <w:numPr>
          <w:ilvl w:val="0"/>
          <w:numId w:val="3"/>
        </w:numPr>
        <w:tabs>
          <w:tab w:val="left" w:pos="720" w:leader="none"/>
        </w:tabs>
        <w:spacing w:lineRule="auto" w:line="480" w:before="120" w:after="120"/>
        <w:ind w:hanging="360" w:start="720" w:end="0"/>
        <w:jc w:val="both"/>
        <w:rPr/>
      </w:pPr>
      <w:r>
        <w:rPr>
          <w:u w:val="single"/>
        </w:rPr>
        <w:t>Sequencing of Network Upgrades.</w:t>
      </w:r>
      <w:r>
        <w:rPr/>
        <w:t xml:space="preserve"> Under certain conditions, a generator may request that a transmission provider accelerate the construction of certain upgrades for which another generator may be responsible.  The generators and transmission providers disagree on the extent of a generator’s right to request such an acceleration and responsibility and crediting for expediting costs.  The Alliance endorses the proposal offered by the generators in the Draft IA (which provides for such expedited treatment wholly at the requesting generator’s expense and subject to later credits and refunds) because it provides an economic and rational means for bringing electric power online in the most efficient manner. </w:t>
      </w:r>
    </w:p>
    <w:p>
      <w:pPr>
        <w:pStyle w:val="Normal"/>
        <w:numPr>
          <w:ilvl w:val="0"/>
          <w:numId w:val="3"/>
        </w:numPr>
        <w:tabs>
          <w:tab w:val="left" w:pos="720" w:leader="none"/>
        </w:tabs>
        <w:spacing w:lineRule="auto" w:line="480" w:before="120" w:after="120"/>
        <w:ind w:hanging="360" w:start="720" w:end="0"/>
        <w:jc w:val="both"/>
        <w:rPr/>
      </w:pPr>
      <w:r>
        <w:rPr>
          <w:u w:val="single"/>
        </w:rPr>
        <w:t>Failure to Complete Studies</w:t>
      </w:r>
      <w:r>
        <w:rPr/>
        <w:t>. The Alliance supports the principle that there should be disciplinary sanctions against transmission providers that do not complete interconnection studies within the agreed-to periods.  A generator that fails to meet its obligations under the Draft IP is deemed to have withdrawn its interconnection request and is ejected from the queue.  This is a drastic remedy, but agreed by generators to be necessary to ensure compliance and discipline.  Likewise, non-performing transmission providers should be disciplined as well.  Furthermore, the generators should have the right to assign an interconnection study to a third party if a transmission provider cannot or does not complete such study within the agreed-to time.  Any such third party study costs are generally at the generator’s expense, unless the transmission provider fails even to give notice of an anticipated delay, in which case the generator reserves the right to refer the matter of study costs to dispute resolution.  Although this provides generators some relief, The Alliance believes that it is insufficient and urges the Commission to adopt the proposal, in the Draft IP, for the assessment against a non-performing transmission provider of nominal performance liquidated damages.</w:t>
      </w:r>
    </w:p>
    <w:p>
      <w:pPr>
        <w:pStyle w:val="Normal"/>
        <w:numPr>
          <w:ilvl w:val="0"/>
          <w:numId w:val="5"/>
        </w:numPr>
        <w:spacing w:before="120" w:after="120"/>
        <w:jc w:val="both"/>
        <w:rPr>
          <w:b/>
        </w:rPr>
      </w:pPr>
      <w:r>
        <w:rPr>
          <w:b/>
        </w:rPr>
        <w:t>Comments on the Standard Interconnection and Operating Agreement Prepared By The Interconnection Agreement Drafting Group</w:t>
      </w:r>
    </w:p>
    <w:p>
      <w:pPr>
        <w:pStyle w:val="Normal"/>
        <w:spacing w:before="120" w:after="120"/>
        <w:jc w:val="both"/>
        <w:rPr>
          <w:b/>
        </w:rPr>
      </w:pPr>
      <w:r>
        <w:rPr>
          <w:b/>
        </w:rPr>
      </w:r>
    </w:p>
    <w:p>
      <w:pPr>
        <w:pStyle w:val="Normal"/>
        <w:numPr>
          <w:ilvl w:val="0"/>
          <w:numId w:val="2"/>
        </w:numPr>
        <w:tabs>
          <w:tab w:val="left" w:pos="720" w:leader="none"/>
        </w:tabs>
        <w:spacing w:lineRule="auto" w:line="480" w:before="120" w:after="120"/>
        <w:ind w:hanging="360" w:start="720" w:end="0"/>
        <w:jc w:val="both"/>
        <w:rPr/>
      </w:pPr>
      <w:r>
        <w:rPr>
          <w:u w:val="single"/>
        </w:rPr>
        <w:t>Interconnection Agreement Signatories</w:t>
      </w:r>
      <w:r>
        <w:rPr/>
        <w:t>.  The question of which entities ought to be party to the interconnection agreement remains open. The Alliance is committed to the establishment of a one-stop process for all interconnection issues, regardless of the actual ownership and operation of the relevant transmission assets.  Generators must have the certainty that they will not be required to provide differing sets of data and information to multiple parties at different times.  There should only be a single window at which generators requesting interconnection need apply.  Therefore, the interconnection agreement must include as a party the entity responsible for the actual interconnection process to ensure that the rights and obligations of generators are not separated from the entity actually managing the interconnection process.  Certain generators believe that, in addition to the interconnection manager, the relevant transmission asset owner should also be a party to the interconnection agreement.  The Alliance endorses this approach, if it is required.</w:t>
      </w:r>
    </w:p>
    <w:p>
      <w:pPr>
        <w:pStyle w:val="Normal"/>
        <w:numPr>
          <w:ilvl w:val="0"/>
          <w:numId w:val="2"/>
        </w:numPr>
        <w:spacing w:lineRule="auto" w:line="480" w:before="120" w:after="120"/>
        <w:ind w:hanging="360" w:start="720" w:end="0"/>
        <w:jc w:val="both"/>
        <w:rPr/>
      </w:pPr>
      <w:r>
        <w:rPr>
          <w:u w:val="single"/>
        </w:rPr>
        <w:t>Important Contractual Provisions Remain Unresolved</w:t>
      </w:r>
      <w:r>
        <w:rPr/>
        <w:t xml:space="preserve">.  The Draft IA is incomplete in several key regards.  The IA Drafting Group did not review, and therefore did not achieve consensus regarding (or offer alternative proposals for) metering, communications, insurance, </w:t>
      </w:r>
      <w:r>
        <w:rPr>
          <w:i/>
        </w:rPr>
        <w:t>force majeure</w:t>
      </w:r>
      <w:r>
        <w:rPr/>
        <w:t>; default and breach (which provision is related to a party’s ability to terminate interconnection); indemnification; assignment (which is singularly critical for purposes of financing any generation project); confidentiality; environmental obligations; information requirements; audit rights; subcontractors; dispute resolution; and the need and functions of an operating committee.  Provisional language respecting each of these provisions is included in the Draft Documents and was drawn originally from various sources, including the EEI model interconnection agreement and procedures.  The Alliance believes that these issues should be resolved consistently with the stated goals of the ANOPR process: ensuring efficient and transparent interconnection of new generation.</w:t>
      </w:r>
    </w:p>
    <w:p>
      <w:pPr>
        <w:pStyle w:val="Normal"/>
        <w:numPr>
          <w:ilvl w:val="0"/>
          <w:numId w:val="2"/>
        </w:numPr>
        <w:spacing w:lineRule="auto" w:line="480" w:before="120" w:after="120"/>
        <w:ind w:hanging="360" w:start="720" w:end="0"/>
        <w:jc w:val="both"/>
        <w:rPr/>
      </w:pPr>
      <w:r>
        <w:rPr>
          <w:u w:val="single"/>
        </w:rPr>
        <w:t>Interconnection Products</w:t>
      </w:r>
      <w:r>
        <w:rPr/>
        <w:t>.  The Consensus Process yielded three defined interconnection products: Energy Resource Interconnection Service; Network Resource Interconnection Service and Optional Interconnection Service.  The Alliance supports the document filed with the Draft IP which outlines these products, the scope of interconnection studies attached to these products and the concomitant qualified delivery rights associated with each product. The Alliance agrees that any standard interconnection agreement adopted by the Commission must include, at a minimum, the right of generators to choose to be treated either as an energy resource and receive such interconnection service or as a network resource and receive service on that basis.  The Alliance notes that the Consensus Process definitions broadly comport with the services defined by the Commission in the ANOPR as “Energy Resource” and “Capacity Resource.”</w:t>
      </w:r>
    </w:p>
    <w:p>
      <w:pPr>
        <w:pStyle w:val="Normal"/>
        <w:numPr>
          <w:ilvl w:val="0"/>
          <w:numId w:val="2"/>
        </w:numPr>
        <w:spacing w:lineRule="auto" w:line="480" w:before="120" w:after="120"/>
        <w:ind w:hanging="360" w:start="720" w:end="0"/>
        <w:jc w:val="both"/>
        <w:rPr/>
      </w:pPr>
      <w:r>
        <w:rPr>
          <w:u w:val="single"/>
        </w:rPr>
        <w:t>Generator Services</w:t>
      </w:r>
      <w:r>
        <w:rPr/>
        <w:t xml:space="preserve">. No generator should be obligated to provide any service to a transmission provider without compensation and other than on terms and conditions agreed to by the parties.  These services should be subject to market forces and negotiations between buyers and sellers of such services.  The Alliance notes that it is not practical, in advance of the development of markets in specialized ancillary products, for generators to anticipate the sorts of service that may command a market price.  Therefore, it is infeasible for generators to agree to provide such services </w:t>
      </w:r>
      <w:r>
        <w:rPr>
          <w:i/>
        </w:rPr>
        <w:t>only</w:t>
      </w:r>
      <w:r>
        <w:rPr/>
        <w:t xml:space="preserve"> on the basis of pre-filed tariffs and the Commission should not prejudice the development of markets for such services by instituting pre-filing requirements. </w:t>
      </w:r>
    </w:p>
    <w:p>
      <w:pPr>
        <w:pStyle w:val="Normal"/>
        <w:numPr>
          <w:ilvl w:val="0"/>
          <w:numId w:val="2"/>
        </w:numPr>
        <w:spacing w:lineRule="auto" w:line="480" w:before="120" w:after="120"/>
        <w:ind w:hanging="360" w:start="720" w:end="0"/>
        <w:jc w:val="both"/>
        <w:rPr/>
      </w:pPr>
      <w:r>
        <w:rPr>
          <w:u w:val="single"/>
        </w:rPr>
        <w:t>Liquidated Damages</w:t>
      </w:r>
      <w:r>
        <w:rPr/>
        <w:t>.  Transmission providers have agreed to nominal liability for liquidated damages if construction is delayed beyond the agreed-to time.  However, transmission providers are attempting to limit the availability of liquidated damages.  First, transmission providers propose that no obligation to pay liquidated damages may mature earlier than 15 months after the commencement of construction under the standard interconnection agreement.  The Alliance believes that this is an arbitrary time cushion for the benefit of transmission providers that also discriminates against all construction that is of less than 15 months in duration.  Under these terms, what incentive does the transmission provider have to complete a project that requires less than 15 months to complete?  Transmission providers further disclaim an obligation to pay liquidated damages if the delay is due to other generators in the queue. This proposal vitiates the disciplinary effect afforded by the liquidated damages remedy.  Generators have agreed, under the terms of the Draft IP, to a package of constraints and commitments to ameliorate queue management concerns.  The transmission providers likewise must be required to abide by the process and should not be relieved of their responsibility for queue management by the provision of a 15-month grace period or by the failure to effectively maintain the queue.  Each of the parties must be encouraged to behave in a commercially reasonable manner and each should have access to all available legal remedies.</w:t>
      </w:r>
    </w:p>
    <w:p>
      <w:pPr>
        <w:pStyle w:val="Normal"/>
        <w:numPr>
          <w:ilvl w:val="0"/>
          <w:numId w:val="2"/>
        </w:numPr>
        <w:spacing w:lineRule="auto" w:line="480" w:before="120" w:after="120"/>
        <w:ind w:hanging="360" w:start="720" w:end="0"/>
        <w:jc w:val="both"/>
        <w:rPr/>
      </w:pPr>
      <w:r>
        <w:rPr>
          <w:u w:val="single"/>
        </w:rPr>
        <w:t>Cost Responsibility</w:t>
      </w:r>
      <w:r>
        <w:rPr/>
        <w:t>.  The Alliance recognizes that many of the issues in the instant docket are intimately linked with the resolution of cost responsibility considerations, which may be the subject of a separate rulemaking.  The Alliance urges the Commission to continue its commitment to the development of national interconnection norms and to develop a process for the allocation of interconnection cost responsibility consistent with the goals of the ANOPR and the cost responsibility principles outlined therein as well as Commission precedent.  The Alliance may reconsider its comments herein to the extent that the cost principles stated in the ANOPR are subsequently modified.  Furthermore, the Commission must recognize that some generators believe that transmission credits are an inadequate mechanism for reimbursing generators for the expense (including the time value of money expended) of constructing system-benefiting upgrades.  These generators believe that a cash refund, on a dollar-for-dollar basis as recovered by the transmission provider under its tariff, is appropriate because cash payments, which can be assigned or securitized, are far more fungible in the marketplace than project-specific transmission credits and are therefore generation projects with such cash payment rights are more likely to attract financing in the credit and capital markets.</w:t>
      </w:r>
    </w:p>
    <w:p>
      <w:pPr>
        <w:pStyle w:val="Normal"/>
        <w:numPr>
          <w:ilvl w:val="0"/>
          <w:numId w:val="2"/>
        </w:numPr>
        <w:spacing w:lineRule="auto" w:line="480" w:before="120" w:after="120"/>
        <w:ind w:hanging="360" w:start="720" w:end="0"/>
        <w:jc w:val="both"/>
        <w:rPr/>
      </w:pPr>
      <w:r>
        <w:rPr>
          <w:u w:val="single"/>
        </w:rPr>
        <w:t>Taxes</w:t>
      </w:r>
      <w:r>
        <w:rPr/>
        <w:t>. The Alliance supports the Draft IA provisions concerning tax liability associated with the construction and ownership of transmission provider interconnection facilities and network upgrades.  The Alliance cautions against the imposition of an artificial term for the standard interconnection agreement and notes that, although a renewable ten-year term, as proposed in the Draft IA, may be necessary for tax considerations, generators expressly disavow any obligation for interconnection restudies at the end of such term, as some transmission providers have previously required.  The Commission must make it clear that, once a generator has executed an interconnection agreement, its project is no longer subject to restudy merely on account of an initial term imposed solely for tax purposes.</w:t>
      </w:r>
    </w:p>
    <w:p>
      <w:pPr>
        <w:pStyle w:val="Heading2"/>
        <w:tabs>
          <w:tab w:val="left" w:pos="720" w:leader="none"/>
        </w:tabs>
        <w:ind w:hanging="0" w:start="0"/>
        <w:rPr>
          <w:rStyle w:val="FootnoteCharacters"/>
        </w:rPr>
      </w:pPr>
      <w:r>
        <w:rPr/>
        <w:t>V</w:t>
      </w:r>
      <w:r>
        <w:rPr>
          <w:rStyle w:val="FootnoteCharacters"/>
        </w:rPr>
        <w:t>.</w:t>
        <w:tab/>
      </w:r>
      <w:r>
        <w:rPr>
          <w:rStyle w:val="FootnoteCharacters"/>
          <w:u w:val="single"/>
        </w:rPr>
        <w:t>Conclusion</w:t>
      </w:r>
    </w:p>
    <w:p>
      <w:pPr>
        <w:pStyle w:val="BodyTextIndent2"/>
        <w:jc w:val="both"/>
        <w:rPr/>
      </w:pPr>
      <w:r>
        <w:rPr>
          <w:rStyle w:val="FootnoteCharacters"/>
        </w:rPr>
        <w:t xml:space="preserve">In </w:t>
      </w:r>
      <w:r>
        <w:rPr/>
        <w:t xml:space="preserve">conclusion, The Alliance </w:t>
      </w:r>
      <w:r>
        <w:rPr>
          <w:rStyle w:val="FootnoteCharacters"/>
        </w:rPr>
        <w:t>supports the Commission’s decision to</w:t>
      </w:r>
      <w:r>
        <w:rPr/>
        <w:t xml:space="preserve"> standardize interconnection arrangements on a national basis</w:t>
      </w:r>
      <w:r>
        <w:rPr>
          <w:rStyle w:val="FootnoteCharacters"/>
        </w:rPr>
        <w:t>.</w:t>
      </w:r>
      <w:r>
        <w:rPr/>
        <w:t xml:space="preserve">  These standards should be based on proposals offered by generators in the course of the Consensus Process and reflected in the Draft IA and Draft IP.  Interconnection arrangements must be transparent and uniform on a national basis to best achieve the goals articulated by the Commission in its ANOPR and for fostering markets that encourage efficient and low-cost generation nationwide.</w:t>
      </w:r>
    </w:p>
    <w:p>
      <w:pPr>
        <w:pStyle w:val="BodyTextIndent2"/>
        <w:jc w:val="both"/>
        <w:rPr>
          <w:rStyle w:val="FootnoteCharacters"/>
        </w:rPr>
      </w:pPr>
      <w:r>
        <w:rPr/>
      </w:r>
    </w:p>
    <w:p>
      <w:pPr>
        <w:pStyle w:val="Normal"/>
        <w:spacing w:lineRule="auto" w:line="480"/>
        <w:rPr/>
      </w:pPr>
      <w:r>
        <w:rPr>
          <w:rStyle w:val="FootnoteCharacters"/>
        </w:rPr>
        <w:t>Respectfully Submitted,</w:t>
      </w:r>
    </w:p>
    <w:p>
      <w:pPr>
        <w:pStyle w:val="Footer"/>
        <w:widowControl/>
        <w:tabs>
          <w:tab w:val="clear" w:pos="4320"/>
          <w:tab w:val="clear" w:pos="8640"/>
        </w:tabs>
        <w:rPr>
          <w:rStyle w:val="FootnoteCharacters"/>
        </w:rPr>
      </w:pPr>
      <w:r>
        <w:rPr/>
      </w:r>
    </w:p>
    <w:p>
      <w:pPr>
        <w:pStyle w:val="Footer"/>
        <w:widowControl/>
        <w:tabs>
          <w:tab w:val="clear" w:pos="4320"/>
          <w:tab w:val="clear" w:pos="8640"/>
        </w:tabs>
        <w:rPr/>
      </w:pPr>
      <w:r>
        <w:rPr/>
        <w:t>Richard F. McMahon</w:t>
      </w:r>
      <w:r>
        <w:rPr>
          <w:rStyle w:val="FootnoteCharacters"/>
        </w:rPr>
        <w:t xml:space="preserve">, </w:t>
      </w:r>
      <w:r>
        <w:rPr/>
        <w:t>Jr.</w:t>
      </w:r>
    </w:p>
    <w:p>
      <w:pPr>
        <w:pStyle w:val="Footer"/>
        <w:widowControl/>
        <w:tabs>
          <w:tab w:val="clear" w:pos="4320"/>
          <w:tab w:val="clear" w:pos="8640"/>
        </w:tabs>
        <w:rPr>
          <w:rStyle w:val="FootnoteCharacters"/>
        </w:rPr>
      </w:pPr>
      <w:r>
        <w:rPr>
          <w:rStyle w:val="FootnoteCharacters"/>
        </w:rPr>
        <w:t>Executive</w:t>
      </w:r>
      <w:r>
        <w:rPr/>
        <w:t xml:space="preserve"> Director</w:t>
      </w:r>
    </w:p>
    <w:p>
      <w:pPr>
        <w:pStyle w:val="Footer"/>
        <w:widowControl/>
        <w:tabs>
          <w:tab w:val="clear" w:pos="4320"/>
          <w:tab w:val="clear" w:pos="8640"/>
        </w:tabs>
        <w:rPr/>
      </w:pPr>
      <w:r>
        <w:rPr>
          <w:rStyle w:val="FootnoteCharacters"/>
        </w:rPr>
        <w:t>Alliance of Energy Suppliers</w:t>
      </w:r>
    </w:p>
    <w:p>
      <w:pPr>
        <w:pStyle w:val="Footer"/>
        <w:widowControl/>
        <w:tabs>
          <w:tab w:val="clear" w:pos="4320"/>
          <w:tab w:val="clear" w:pos="8640"/>
        </w:tabs>
        <w:rPr/>
      </w:pPr>
      <w:r>
        <w:rPr>
          <w:rStyle w:val="FootnoteCharacters"/>
        </w:rPr>
        <w:t>701 Pennsylvania Avenue, N.W.</w:t>
      </w:r>
    </w:p>
    <w:p>
      <w:pPr>
        <w:pStyle w:val="Footer"/>
        <w:widowControl/>
        <w:tabs>
          <w:tab w:val="clear" w:pos="4320"/>
          <w:tab w:val="clear" w:pos="8640"/>
        </w:tabs>
        <w:rPr/>
      </w:pPr>
      <w:r>
        <w:rPr>
          <w:rStyle w:val="FootnoteCharacters"/>
        </w:rPr>
        <w:t>Washington, D.C. 20004</w:t>
      </w:r>
    </w:p>
    <w:p>
      <w:pPr>
        <w:pStyle w:val="Footer"/>
        <w:widowControl/>
        <w:tabs>
          <w:tab w:val="clear" w:pos="4320"/>
          <w:tab w:val="clear" w:pos="8640"/>
        </w:tabs>
        <w:rPr/>
      </w:pPr>
      <w:r>
        <w:rPr>
          <w:rStyle w:val="FootnoteCharacters"/>
        </w:rPr>
        <w:t>(202) 508-5527</w:t>
      </w:r>
    </w:p>
    <w:p>
      <w:pPr>
        <w:pStyle w:val="Footer"/>
        <w:widowControl/>
        <w:tabs>
          <w:tab w:val="clear" w:pos="4320"/>
          <w:tab w:val="clear" w:pos="8640"/>
        </w:tabs>
        <w:rPr/>
      </w:pPr>
      <w:r>
        <w:rPr/>
        <w:br/>
      </w:r>
      <w:r>
        <w:br w:type="page"/>
      </w:r>
    </w:p>
    <w:p>
      <w:pPr>
        <w:pStyle w:val="Footer"/>
        <w:widowControl/>
        <w:tabs>
          <w:tab w:val="clear" w:pos="4320"/>
          <w:tab w:val="clear" w:pos="8640"/>
        </w:tabs>
        <w:rPr/>
      </w:pPr>
      <w:r>
        <w:rPr/>
      </w:r>
    </w:p>
    <w:p>
      <w:pPr>
        <w:pStyle w:val="Footer"/>
        <w:widowControl/>
        <w:tabs>
          <w:tab w:val="clear" w:pos="4320"/>
          <w:tab w:val="clear" w:pos="8640"/>
        </w:tabs>
        <w:jc w:val="center"/>
        <w:rPr>
          <w:b/>
          <w:u w:val="single"/>
        </w:rPr>
      </w:pPr>
      <w:r>
        <w:rPr>
          <w:b/>
          <w:u w:val="single"/>
        </w:rPr>
        <w:t>CERTIFICATE OF SERVICE</w:t>
      </w:r>
    </w:p>
    <w:p>
      <w:pPr>
        <w:pStyle w:val="Footer"/>
        <w:widowControl/>
        <w:tabs>
          <w:tab w:val="clear" w:pos="4320"/>
          <w:tab w:val="clear" w:pos="8640"/>
        </w:tabs>
        <w:rPr/>
      </w:pPr>
      <w:r>
        <w:rPr/>
      </w:r>
    </w:p>
    <w:p>
      <w:pPr>
        <w:pStyle w:val="Footer"/>
        <w:widowControl/>
        <w:tabs>
          <w:tab w:val="clear" w:pos="4320"/>
          <w:tab w:val="clear" w:pos="8640"/>
        </w:tabs>
        <w:rPr/>
      </w:pPr>
      <w:r>
        <w:rPr/>
      </w:r>
    </w:p>
    <w:p>
      <w:pPr>
        <w:pStyle w:val="Footer"/>
        <w:widowControl/>
        <w:tabs>
          <w:tab w:val="clear" w:pos="4320"/>
          <w:tab w:val="clear" w:pos="8640"/>
        </w:tabs>
        <w:rPr/>
      </w:pPr>
      <w:r>
        <w:rPr/>
        <w:tab/>
        <w:t>I hereby certify that I have this day caused the foregoing document to be served upon all known parties in this proceeding by mailing by first-class mail a copy properly addressed to each such party.</w:t>
      </w:r>
    </w:p>
    <w:p>
      <w:pPr>
        <w:pStyle w:val="Footer"/>
        <w:widowControl/>
        <w:tabs>
          <w:tab w:val="clear" w:pos="4320"/>
          <w:tab w:val="clear" w:pos="8640"/>
        </w:tabs>
        <w:rPr/>
      </w:pPr>
      <w:r>
        <w:rPr/>
      </w:r>
    </w:p>
    <w:p>
      <w:pPr>
        <w:pStyle w:val="Footer"/>
        <w:widowControl/>
        <w:tabs>
          <w:tab w:val="clear" w:pos="4320"/>
          <w:tab w:val="clear" w:pos="8640"/>
        </w:tabs>
        <w:rPr/>
      </w:pPr>
      <w:r>
        <w:rPr/>
        <w:tab/>
        <w:t>Dated at Washington, DC this 1</w:t>
      </w:r>
      <w:r>
        <w:rPr>
          <w:vertAlign w:val="superscript"/>
        </w:rPr>
        <w:t>st</w:t>
      </w:r>
      <w:r>
        <w:rPr/>
        <w:t xml:space="preserve"> day of February, 2002.</w:t>
      </w:r>
    </w:p>
    <w:p>
      <w:pPr>
        <w:pStyle w:val="Footer"/>
        <w:widowControl/>
        <w:tabs>
          <w:tab w:val="clear" w:pos="4320"/>
          <w:tab w:val="clear" w:pos="8640"/>
        </w:tabs>
        <w:rPr/>
      </w:pPr>
      <w:r>
        <w:rPr/>
      </w:r>
    </w:p>
    <w:p>
      <w:pPr>
        <w:pStyle w:val="Footer"/>
        <w:widowControl/>
        <w:tabs>
          <w:tab w:val="clear" w:pos="4320"/>
          <w:tab w:val="clear" w:pos="8640"/>
        </w:tabs>
        <w:rPr/>
      </w:pPr>
      <w:r>
        <w:rPr/>
      </w:r>
    </w:p>
    <w:p>
      <w:pPr>
        <w:pStyle w:val="Footer"/>
        <w:widowControl/>
        <w:tabs>
          <w:tab w:val="clear" w:pos="4320"/>
          <w:tab w:val="clear" w:pos="8640"/>
        </w:tabs>
        <w:rPr/>
      </w:pPr>
      <w:r>
        <w:rPr/>
      </w:r>
    </w:p>
    <w:p>
      <w:pPr>
        <w:pStyle w:val="Footer"/>
        <w:widowControl/>
        <w:tabs>
          <w:tab w:val="clear" w:pos="4320"/>
          <w:tab w:val="clear" w:pos="8640"/>
        </w:tabs>
        <w:rPr/>
      </w:pPr>
      <w:r>
        <w:rPr/>
        <w:tab/>
        <w:tab/>
        <w:tab/>
        <w:tab/>
        <w:tab/>
        <w:tab/>
        <w:tab/>
      </w:r>
      <w:r>
        <w:rPr>
          <w:u w:val="single"/>
        </w:rPr>
        <w:tab/>
        <w:tab/>
        <w:tab/>
        <w:tab/>
      </w:r>
    </w:p>
    <w:p>
      <w:pPr>
        <w:pStyle w:val="Footer"/>
        <w:widowControl/>
        <w:tabs>
          <w:tab w:val="clear" w:pos="4320"/>
          <w:tab w:val="clear" w:pos="8640"/>
        </w:tabs>
        <w:rPr/>
      </w:pPr>
      <w:r>
        <w:rPr/>
        <w:tab/>
        <w:tab/>
        <w:tab/>
        <w:tab/>
        <w:tab/>
        <w:tab/>
        <w:tab/>
        <w:t xml:space="preserve">Richard F. McMahon, Jr. </w:t>
      </w:r>
    </w:p>
    <w:sectPr>
      <w:headerReference w:type="default" r:id="rId2"/>
      <w:footerReference w:type="default" r:id="rId3"/>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16"/>
      </w:rPr>
    </w:pPr>
    <w:r>
      <w:rPr>
        <w:rFonts w:cs="Arial" w:ascii="Arial" w:hAnsi="Arial"/>
        <w:b/>
        <w:sz w:val="16"/>
      </w:rPr>
      <w:t>Baker &amp; McKenzie</w:t>
    </w:r>
  </w:p>
  <w:p>
    <w:pPr>
      <w:pStyle w:val="Header"/>
      <w:jc w:val="end"/>
      <w:rPr>
        <w:rFonts w:ascii="Arial" w:hAnsi="Arial" w:cs="Arial"/>
        <w:b/>
        <w:sz w:val="16"/>
      </w:rPr>
    </w:pPr>
    <w:r>
      <w:rPr>
        <w:rFonts w:cs="Arial" w:ascii="Arial" w:hAnsi="Arial"/>
        <w:b/>
        <w:sz w:val="16"/>
      </w:rPr>
      <w:t>Draft Comments on ANOPR</w:t>
    </w:r>
  </w:p>
  <w:p>
    <w:pPr>
      <w:pStyle w:val="Header"/>
      <w:jc w:val="end"/>
      <w:rPr>
        <w:rFonts w:ascii="Arial" w:hAnsi="Arial" w:cs="Arial"/>
        <w:b/>
        <w:sz w:val="16"/>
      </w:rPr>
    </w:pPr>
    <w:r>
      <w:rPr>
        <w:rFonts w:cs="Arial" w:ascii="Arial" w:hAnsi="Arial"/>
        <w:b/>
        <w:sz w:val="16"/>
      </w:rPr>
      <w:t>January 28, 2002</w:t>
    </w:r>
  </w:p>
  <w:p>
    <w:pPr>
      <w:pStyle w:val="Header"/>
      <w:jc w:val="end"/>
      <w:rPr>
        <w:rFonts w:ascii="Arial" w:hAnsi="Arial" w:cs="Arial"/>
        <w:b/>
        <w:sz w:val="16"/>
      </w:rPr>
    </w:pPr>
    <w:r>
      <w:rPr>
        <w:rFonts w:cs="Arial" w:ascii="Arial" w:hAnsi="Arial"/>
        <w:b/>
        <w:sz w:val="16"/>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1080"/>
        </w:tabs>
        <w:ind w:start="1080" w:hanging="360"/>
      </w:pPr>
      <w:rPr/>
    </w:lvl>
  </w:abstractNum>
  <w:abstractNum w:abstractNumId="5">
    <w:lvl w:ilvl="0">
      <w:start w:val="4"/>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6"/>
      <w:u w:val="single"/>
    </w:rPr>
  </w:style>
  <w:style w:type="paragraph" w:styleId="Heading2">
    <w:name w:val="heading 2"/>
    <w:basedOn w:val="Normal"/>
    <w:next w:val="Normal"/>
    <w:qFormat/>
    <w:pPr>
      <w:keepNext w:val="true"/>
      <w:numPr>
        <w:ilvl w:val="1"/>
        <w:numId w:val="1"/>
      </w:numPr>
      <w:spacing w:lineRule="auto" w:line="480"/>
      <w:outlineLvl w:val="1"/>
    </w:pPr>
    <w:rPr>
      <w:b/>
      <w:bCs/>
    </w:rPr>
  </w:style>
  <w:style w:type="paragraph" w:styleId="Heading4">
    <w:name w:val="heading 4"/>
    <w:basedOn w:val="Normal"/>
    <w:next w:val="Normal"/>
    <w:qFormat/>
    <w:pPr>
      <w:keepNext w:val="true"/>
      <w:numPr>
        <w:ilvl w:val="0"/>
        <w:numId w:val="4"/>
      </w:numPr>
      <w:spacing w:lineRule="auto" w:line="480"/>
      <w:outlineLvl w:val="3"/>
    </w:pPr>
    <w:rPr>
      <w:b/>
      <w:bCs/>
      <w:u w:val="single"/>
    </w:rPr>
  </w:style>
  <w:style w:type="paragraph" w:styleId="Heading5">
    <w:name w:val="heading 5"/>
    <w:basedOn w:val="Normal"/>
    <w:next w:val="Normal"/>
    <w:qFormat/>
    <w:pPr>
      <w:keepNext w:val="true"/>
      <w:numPr>
        <w:ilvl w:val="4"/>
        <w:numId w:val="1"/>
      </w:numPr>
      <w:jc w:val="center"/>
      <w:outlineLvl w:val="4"/>
    </w:pPr>
    <w:rPr>
      <w:b/>
      <w:bCs/>
      <w:sz w:val="32"/>
    </w:rPr>
  </w:style>
  <w:style w:type="paragraph" w:styleId="Heading8">
    <w:name w:val="heading 8"/>
    <w:basedOn w:val="Normal"/>
    <w:next w:val="Normal"/>
    <w:qFormat/>
    <w:pPr>
      <w:keepNext w:val="true"/>
      <w:numPr>
        <w:ilvl w:val="7"/>
        <w:numId w:val="1"/>
      </w:numPr>
      <w:ind w:hanging="0" w:start="6660" w:end="0"/>
      <w:outlineLvl w:val="7"/>
    </w:pPr>
    <w:rPr>
      <w:b/>
      <w:bC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5z0">
    <w:name w:val="WW8Num15z0"/>
    <w:qFormat/>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BodyTextIndent">
    <w:name w:val="Body Text Indent"/>
    <w:basedOn w:val="Normal"/>
    <w:pPr>
      <w:spacing w:lineRule="auto" w:line="480"/>
      <w:ind w:firstLine="360" w:start="0" w:end="0"/>
    </w:pPr>
    <w:rPr/>
  </w:style>
  <w:style w:type="paragraph" w:styleId="BodyTextIndent2">
    <w:name w:val="Body Text Indent 2"/>
    <w:basedOn w:val="Normal"/>
    <w:qFormat/>
    <w:pPr>
      <w:spacing w:lineRule="auto" w:line="480"/>
      <w:ind w:firstLine="720" w:start="0" w:end="0"/>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firstLine="720" w:start="720" w:end="72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2002-01-29T17:11:00Z</dcterms:created>
  <dc:creator>Samir S. Desai</dc:creator>
  <dc:description/>
  <dc:language>en-CA</dc:language>
  <cp:lastModifiedBy>Information Services</cp:lastModifiedBy>
  <cp:lastPrinted>2001-10-04T17:23:00Z</cp:lastPrinted>
  <dcterms:modified xsi:type="dcterms:W3CDTF">2002-01-29T17:11:00Z</dcterms:modified>
  <cp:revision>2</cp:revision>
  <dc:subject/>
  <dc:title>Alliance Comments</dc:title>
</cp:coreProperties>
</file>