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FERC Facilitation of Dialog Regarding Alliance Stakeholder Advisory Process</w:t>
      </w:r>
    </w:p>
    <w:p>
      <w:pPr>
        <w:pStyle w:val="Normal"/>
        <w:rPr/>
      </w:pPr>
      <w:r>
        <w:rPr/>
        <w:t>Cleveland, August 14, 2001</w:t>
      </w:r>
    </w:p>
    <w:p>
      <w:pPr>
        <w:pStyle w:val="Normal"/>
        <w:rPr/>
      </w:pPr>
      <w:r>
        <w:rPr/>
        <w:t>Meeting Notes</w:t>
      </w:r>
    </w:p>
    <w:p>
      <w:pPr>
        <w:pStyle w:val="Normal"/>
        <w:rPr/>
      </w:pPr>
      <w:r>
        <w:rPr/>
      </w:r>
    </w:p>
    <w:p>
      <w:pPr>
        <w:pStyle w:val="Normal"/>
        <w:rPr>
          <w:b/>
          <w:bCs/>
        </w:rPr>
      </w:pPr>
      <w:r>
        <w:rPr>
          <w:b/>
          <w:bCs/>
        </w:rPr>
        <w:t>The Meeting</w:t>
      </w:r>
    </w:p>
    <w:p>
      <w:pPr>
        <w:pStyle w:val="Normal"/>
        <w:rPr>
          <w:b/>
          <w:bCs/>
        </w:rPr>
      </w:pPr>
      <w:r>
        <w:rPr>
          <w:b/>
          <w:bCs/>
        </w:rPr>
      </w:r>
    </w:p>
    <w:p>
      <w:pPr>
        <w:pStyle w:val="Normal"/>
        <w:rPr/>
      </w:pPr>
      <w:r>
        <w:rPr/>
        <w:t>The FERC facilitators Richard Miles and Steve Shapiro distributed a propose agenda and kicked off the meeting.</w:t>
      </w:r>
    </w:p>
    <w:p>
      <w:pPr>
        <w:pStyle w:val="Normal"/>
        <w:rPr/>
      </w:pPr>
      <w:r>
        <w:rPr/>
      </w:r>
    </w:p>
    <w:p>
      <w:pPr>
        <w:pStyle w:val="Normal"/>
        <w:rPr/>
      </w:pPr>
      <w:r>
        <w:rPr/>
        <w:t xml:space="preserve">Pat McCormick, speaking on behalf of Alliance, asserted that its goals were congruent with the stakeholders:  establishment of a mutually acceptable Advisory Committee. He claimed that the commonality of interests is revealed in the Alliance’s general agreement with Sam Randazzo’s redline markup of Section 6.6. Pro forma Alliance Transco LLC Agreement, which would formalize 1) Advisory Committee and 2) Non-Divesting Transmission Owners Advisory Committee membership and selection criteria.  (The markup had previously been distributed electronically to a subset of stakeholders and Alliance members).   </w:t>
      </w:r>
    </w:p>
    <w:p>
      <w:pPr>
        <w:pStyle w:val="Normal"/>
        <w:rPr/>
      </w:pPr>
      <w:r>
        <w:rPr/>
      </w:r>
    </w:p>
    <w:p>
      <w:pPr>
        <w:pStyle w:val="Normal"/>
        <w:rPr/>
      </w:pPr>
      <w:r>
        <w:rPr/>
        <w:t xml:space="preserve">While McCormick’s intent was to discuss the markup and achieve consensus with stakeholders regarding establishment of the committees, the stakeholders insisted on linking any discussion of the Section 6.6 document with a broader discussion of the RTO independence criterion.  Stakeholders expressed extreme dissatisfaction with the fact that Bridgeco, to whom the Advisory Committee would report, is not an independent entity; hence discussions of Advisory Committee protocol are pointless.  Stakeholders asserted that a discussion of a stakeholder process must encompass the issue of to whom stakeholder advice is rendered.  </w:t>
      </w:r>
    </w:p>
    <w:p>
      <w:pPr>
        <w:pStyle w:val="Normal"/>
        <w:rPr/>
      </w:pPr>
      <w:r>
        <w:rPr/>
      </w:r>
    </w:p>
    <w:p>
      <w:pPr>
        <w:pStyle w:val="Normal"/>
        <w:rPr/>
      </w:pPr>
      <w:r>
        <w:rPr/>
        <w:t xml:space="preserve">McCormick acknowledged that the Grid Florida Order established a requirement of “pre-transmission service date independence”, but expressed frustration over the practical difficulties of getting an independent board in place expeditiously.  He pointed out that on Friday the Alliance had filed a request for clarification regarding FERC’s order to establish an independent board “from the date of this order.”  Since FERC also required the Alliance to determine its business model (i.e. strategic vs. financial investor) within 45 days of the July 12 Order, McCormick argued that a permanent independent board would not be constituted until the investor was determined – at which time the board of the investing non-market participant entity would become the independent board to which the Advisory Committee would render advice.  In the unlikely event that no investor could be found, McCormick stated that the independent board would be that of a newly constituted company, with its board selected in a process similar to that ongoing in GridSouth and GridFlorida.  </w:t>
      </w:r>
    </w:p>
    <w:p>
      <w:pPr>
        <w:pStyle w:val="Normal"/>
        <w:rPr/>
      </w:pPr>
      <w:r>
        <w:rPr/>
      </w:r>
    </w:p>
    <w:p>
      <w:pPr>
        <w:pStyle w:val="Normal"/>
        <w:rPr/>
      </w:pPr>
      <w:r>
        <w:rPr/>
        <w:t>McCormick’s explanation was not well received by stakeholders, some of whom claimed  that at an August 1 meeting the Alliance had represented that the Advisory Committee would have a role in selecting the independent board.  This led to a general discussion of the lack of trust between stakeholders and the Alliance, with the misinformation provided at the August 1 meeting identified as a glaring example of the Alliance’s general lack of concern over stakeholder relations.</w:t>
      </w:r>
    </w:p>
    <w:p>
      <w:pPr>
        <w:pStyle w:val="Normal"/>
        <w:rPr/>
      </w:pPr>
      <w:r>
        <w:rPr/>
      </w:r>
    </w:p>
    <w:p>
      <w:pPr>
        <w:pStyle w:val="Normal"/>
        <w:rPr/>
      </w:pPr>
      <w:r>
        <w:rPr/>
        <w:t>Steve Naumann stated on behalf of the Alliance that it would take time – a minimum of two to three months – to get any interim independent board established.  He challenged stakeholders to assess what should be done in the interim – advise Bridgeco, or simply forego stakeholder communications?  Among the retorts were that, given the likelihood of the seating of a permanent board with the identification of an investor, no one would be found to sit on an interim board for only a few months; that the Advisory Committee should become the interim Board of Directors for Bridgeco (McCormick quickly stated the Alliance companies wouldn’t agree to that); and that an Advisory Committee should not be constituted until an independent board was established</w:t>
      </w:r>
    </w:p>
    <w:p>
      <w:pPr>
        <w:pStyle w:val="Normal"/>
        <w:rPr/>
      </w:pPr>
      <w:r>
        <w:rPr/>
      </w:r>
    </w:p>
    <w:p>
      <w:pPr>
        <w:pStyle w:val="Normal"/>
        <w:rPr/>
      </w:pPr>
      <w:r>
        <w:rPr/>
        <w:t>After caucussing, for a half hour, the Alliance returned to present a proposal for stakeholders’ consideration.  Alliance proposed to establish an interim board of non-market participants who would be authorized to make market design decisions.  The interim independent board would be established on the basis of seven principles:</w:t>
      </w:r>
    </w:p>
    <w:p>
      <w:pPr>
        <w:pStyle w:val="Normal"/>
        <w:numPr>
          <w:ilvl w:val="0"/>
          <w:numId w:val="1"/>
        </w:numPr>
        <w:rPr/>
      </w:pPr>
      <w:r>
        <w:rPr/>
        <w:t>Trustees would be non-market participants</w:t>
      </w:r>
    </w:p>
    <w:p>
      <w:pPr>
        <w:pStyle w:val="Normal"/>
        <w:numPr>
          <w:ilvl w:val="0"/>
          <w:numId w:val="1"/>
        </w:numPr>
        <w:rPr/>
      </w:pPr>
      <w:r>
        <w:rPr/>
        <w:t>They would have stature (McCormick said they would be “Great Americans”)</w:t>
      </w:r>
    </w:p>
    <w:p>
      <w:pPr>
        <w:pStyle w:val="Normal"/>
        <w:numPr>
          <w:ilvl w:val="0"/>
          <w:numId w:val="1"/>
        </w:numPr>
        <w:rPr/>
      </w:pPr>
      <w:r>
        <w:rPr/>
        <w:t>The number of trustees would serve the interest of practicality</w:t>
      </w:r>
    </w:p>
    <w:p>
      <w:pPr>
        <w:pStyle w:val="Normal"/>
        <w:numPr>
          <w:ilvl w:val="0"/>
          <w:numId w:val="1"/>
        </w:numPr>
        <w:rPr/>
      </w:pPr>
      <w:r>
        <w:rPr/>
        <w:t>The mechanism for board selection would serve the interest of immediate implementation (Alliance proposed as an idea that stakeholders would select one trustee, Alliance companies a second trustee, and the two selected trustees would together select a third, with three constituting the board)</w:t>
      </w:r>
    </w:p>
    <w:p>
      <w:pPr>
        <w:pStyle w:val="Normal"/>
        <w:numPr>
          <w:ilvl w:val="0"/>
          <w:numId w:val="1"/>
        </w:numPr>
        <w:rPr/>
      </w:pPr>
      <w:r>
        <w:rPr/>
        <w:t>Scope of the interim board’s authority would be market design issues (Alliance stated that the interim board would not negotiate business decisions regarding the strategic/financial investor; also that previously approved decisions like Day 1 congestion management would not be in its purview; also that implementation of IRCA, the coordination agreement with MISO, would be beyond its purview)</w:t>
      </w:r>
    </w:p>
    <w:p>
      <w:pPr>
        <w:pStyle w:val="Normal"/>
        <w:numPr>
          <w:ilvl w:val="0"/>
          <w:numId w:val="1"/>
        </w:numPr>
        <w:rPr/>
      </w:pPr>
      <w:r>
        <w:rPr/>
        <w:t>The Advisory Committee would advise the interim board after notice and with opportunity for comment in an open session</w:t>
      </w:r>
    </w:p>
    <w:p>
      <w:pPr>
        <w:pStyle w:val="Normal"/>
        <w:numPr>
          <w:ilvl w:val="0"/>
          <w:numId w:val="1"/>
        </w:numPr>
        <w:rPr/>
      </w:pPr>
      <w:r>
        <w:rPr/>
        <w:t>All parties represented in the stakeholder meeting would support the arrangement.</w:t>
      </w:r>
    </w:p>
    <w:p>
      <w:pPr>
        <w:pStyle w:val="Normal"/>
        <w:rPr/>
      </w:pPr>
      <w:r>
        <w:rPr/>
      </w:r>
    </w:p>
    <w:p>
      <w:pPr>
        <w:pStyle w:val="Normal"/>
        <w:rPr/>
      </w:pPr>
      <w:r>
        <w:rPr/>
        <w:t>Stakeholders expressed much concern over the proposal.  Among the concerns expressed were: 1) the trustees should have the authority to themselves decide what “market design issues” encompass, rather than have those issues pre-defined; 2) the trustees should have the authority to file tariffs; 3) constitution of the interim committee and subsequent meaningful stakeholder input is totally impractical because of timing issues; the permanent committee will likely be in place shortly after any input could be delivered.</w:t>
      </w:r>
    </w:p>
    <w:p>
      <w:pPr>
        <w:pStyle w:val="Normal"/>
        <w:rPr/>
      </w:pPr>
      <w:r>
        <w:rPr/>
      </w:r>
    </w:p>
    <w:p>
      <w:pPr>
        <w:pStyle w:val="Normal"/>
        <w:rPr/>
      </w:pPr>
      <w:r>
        <w:rPr/>
        <w:t xml:space="preserve">With the Alliance representatives out of the room, stakeholders caucussed for almost an hour.  Despite some concerns over the practicality of the exercise, a general consensus emerged in the caucus that the Alliance’s proposal could be accepted, but only with significant modifications.  Foremost of these was expansion of the scope of authority of the interim board of directors – the interim board should have plenary authority, though certain issues such as the determination of the strategic/financial investor could be carved out.  Certainly the interim board should have authority to decide how to implement IRCA.  Stakeholders would not accept the seventh principle, determining instead to reserve rights of protest until after the details of the Alliance’s offer were ironed out.  In order to preserve protest rights, it was suggested that the state commissions rather than all stakeholders select the first member of the interim board. </w:t>
      </w:r>
    </w:p>
    <w:p>
      <w:pPr>
        <w:pStyle w:val="Normal"/>
        <w:rPr/>
      </w:pPr>
      <w:r>
        <w:rPr/>
      </w:r>
    </w:p>
    <w:p>
      <w:pPr>
        <w:pStyle w:val="Normal"/>
        <w:rPr/>
      </w:pPr>
      <w:r>
        <w:rPr/>
        <w:t>When the Alliance representatives returned to the room, Commissioner Nelson presented the stakeholder position.  His points:</w:t>
      </w:r>
    </w:p>
    <w:p>
      <w:pPr>
        <w:pStyle w:val="Normal"/>
        <w:rPr/>
      </w:pPr>
      <w:r>
        <w:rPr/>
      </w:r>
    </w:p>
    <w:p>
      <w:pPr>
        <w:pStyle w:val="Normal"/>
        <w:numPr>
          <w:ilvl w:val="0"/>
          <w:numId w:val="2"/>
        </w:numPr>
        <w:rPr/>
      </w:pPr>
      <w:r>
        <w:rPr/>
        <w:t>Fundamental issue is scope of interim board decisionmaking; IRCA and tariffs must be within the scope; the interim board should itself decide what business decisions it may make.  Some things, such as investor decisions and discussions with small transmission companies could be carved out.</w:t>
      </w:r>
    </w:p>
    <w:p>
      <w:pPr>
        <w:pStyle w:val="Normal"/>
        <w:numPr>
          <w:ilvl w:val="0"/>
          <w:numId w:val="2"/>
        </w:numPr>
        <w:rPr/>
      </w:pPr>
      <w:r>
        <w:rPr/>
        <w:t>The board members must be selected within thirty days.</w:t>
      </w:r>
    </w:p>
    <w:p>
      <w:pPr>
        <w:pStyle w:val="Normal"/>
        <w:numPr>
          <w:ilvl w:val="0"/>
          <w:numId w:val="2"/>
        </w:numPr>
        <w:rPr/>
      </w:pPr>
      <w:r>
        <w:rPr/>
        <w:t>If the two first named members cannot agree on selection of a third, the decision would default to the state commissions.</w:t>
      </w:r>
    </w:p>
    <w:p>
      <w:pPr>
        <w:pStyle w:val="Normal"/>
        <w:numPr>
          <w:ilvl w:val="0"/>
          <w:numId w:val="2"/>
        </w:numPr>
        <w:rPr/>
      </w:pPr>
      <w:r>
        <w:rPr/>
        <w:t>Rights of stakeholders to protest must somehow be preserved, so an option is to have state commissioners make selection of first member of three member interim board rather than all stakeholders.</w:t>
      </w:r>
    </w:p>
    <w:p>
      <w:pPr>
        <w:pStyle w:val="Normal"/>
        <w:rPr/>
      </w:pPr>
      <w:r>
        <w:rPr/>
      </w:r>
    </w:p>
    <w:p>
      <w:pPr>
        <w:pStyle w:val="Normal"/>
        <w:rPr/>
      </w:pPr>
      <w:r>
        <w:rPr/>
        <w:t xml:space="preserve">Before the Alliance responded to the counteroffer and in the interest of time, the FERC facilitators turned the discussion to the Section 6.6 Pro forma Alliance Transco LLC Agreement language regarding Advisory and Non-Divesting Transmission Owners Advisory Committee membership and protocol, as marked up by Sam Randazzo.  McCormick states that if its concerns are addressed the Alliance agrees to implement it immediately; that Alliance is willing to require confidentiality of Advisory Committee members only when they are provided confidential/market sensitive information; that the Alliance would not preclude meetings more often than on a quarterly basis, so long as they are not burdensome to participants; that Randazzo’s suggested change of committee representation to two external border RTOs rather than two external border transmission systems  would unnecessarily preclude membership of Ontario Hydro or TVA; and that Randazzo’s change of the word “customer” to “stakeholder” was acceptable.  </w:t>
      </w:r>
    </w:p>
    <w:p>
      <w:pPr>
        <w:pStyle w:val="Normal"/>
        <w:rPr/>
      </w:pPr>
      <w:r>
        <w:rPr/>
      </w:r>
    </w:p>
    <w:p>
      <w:pPr>
        <w:pStyle w:val="Normal"/>
        <w:rPr/>
      </w:pPr>
      <w:r>
        <w:rPr/>
        <w:t>On the important issue of affiliate participation as representatives of multiple categories, the Alliance accepts that the overarching corporate entity should resolve internally which “basket” it will be represented in, and that it can only be represented in one basket.  There was general agreement, however, that segment subgroup meetings would be open so that anyone including a specific affiliate could speak – just not vote.</w:t>
      </w:r>
    </w:p>
    <w:p>
      <w:pPr>
        <w:pStyle w:val="Normal"/>
        <w:rPr/>
      </w:pPr>
      <w:r>
        <w:rPr/>
      </w:r>
    </w:p>
    <w:p>
      <w:pPr>
        <w:pStyle w:val="Normal"/>
        <w:rPr/>
      </w:pPr>
      <w:r>
        <w:rPr/>
        <w:t xml:space="preserve">There was discussion of instituting weighted voting, wherein the proportion of votes allocated to a segment would be pro-rated among all attendees of that segment at a meeting.  Other modifications sought by the stakeholders included a permanent place on the Board of Director agenda for Advisory Committee input; required attendance by Managing Member officers at Advisory Committee meetings; and notice and prior review by the Advisory Committee of major forthcoming decisions by the Board of Directors.  </w:t>
      </w:r>
    </w:p>
    <w:p>
      <w:pPr>
        <w:pStyle w:val="Normal"/>
        <w:rPr>
          <w:b/>
          <w:bCs/>
        </w:rPr>
      </w:pPr>
      <w:r>
        <w:rPr>
          <w:b/>
          <w:bCs/>
        </w:rPr>
      </w:r>
    </w:p>
    <w:p>
      <w:pPr>
        <w:pStyle w:val="Normal"/>
        <w:rPr>
          <w:b/>
          <w:bCs/>
        </w:rPr>
      </w:pPr>
      <w:r>
        <w:rPr>
          <w:b/>
          <w:bCs/>
        </w:rPr>
        <w:t>Next Steps</w:t>
      </w:r>
    </w:p>
    <w:p>
      <w:pPr>
        <w:pStyle w:val="Normal"/>
        <w:rPr>
          <w:b/>
          <w:bCs/>
        </w:rPr>
      </w:pPr>
      <w:r>
        <w:rPr>
          <w:b/>
          <w:bCs/>
        </w:rPr>
      </w:r>
    </w:p>
    <w:p>
      <w:pPr>
        <w:pStyle w:val="Normal"/>
        <w:rPr/>
      </w:pPr>
      <w:r>
        <w:rPr/>
        <w:t>Pat McCormick of the Alliance intends to refine the proposal regarding the interim independent board and to circulate it; he commits to considering incorporating all the modifications to that proposal that were presented by stakeholders and where such modifications are not incorporated, explaining why they were not incorporated.</w:t>
      </w:r>
    </w:p>
    <w:p>
      <w:pPr>
        <w:pStyle w:val="Normal"/>
        <w:rPr/>
      </w:pPr>
      <w:r>
        <w:rPr/>
      </w:r>
    </w:p>
    <w:p>
      <w:pPr>
        <w:pStyle w:val="Normal"/>
        <w:rPr/>
      </w:pPr>
      <w:r>
        <w:rPr/>
        <w:t xml:space="preserve">McCormick will refine the Section 6.6 Pro format Alliance Transco LLC Agreement document to incorporate a weighted voting methodology and additional items acceptable to the Alliance that were suggested by stakeholders. </w:t>
      </w:r>
    </w:p>
    <w:p>
      <w:pPr>
        <w:pStyle w:val="Normal"/>
        <w:rPr/>
      </w:pPr>
      <w:r>
        <w:rPr/>
      </w:r>
    </w:p>
    <w:p>
      <w:pPr>
        <w:pStyle w:val="Normal"/>
        <w:rPr/>
      </w:pPr>
      <w:r>
        <w:rPr/>
        <w:t>The “self-designated entities” process that Alliance commenced on its website to commence population of the Advisory Board will be suspended in view of the ongoing review of the Section 6.6 document as well as the matter of the interim independent board.  FERC will put some language together to this effect which the Alliance will post on its bulletin board.</w:t>
      </w:r>
    </w:p>
    <w:p>
      <w:pPr>
        <w:pStyle w:val="Normal"/>
        <w:rPr/>
      </w:pPr>
      <w:r>
        <w:rPr/>
      </w:r>
    </w:p>
    <w:p>
      <w:pPr>
        <w:pStyle w:val="Normal"/>
        <w:rPr/>
      </w:pPr>
      <w:r>
        <w:rPr/>
        <w:t>The Alliance will craft its response to stakeholder’s concerns regarding the independent interim board by next Tuesday, August 21</w:t>
      </w:r>
      <w:r>
        <w:rPr>
          <w:vertAlign w:val="superscript"/>
        </w:rPr>
        <w:t>st</w:t>
      </w:r>
      <w:r>
        <w:rPr/>
        <w:t>.  It hopes to be able to circulate its response by end of business Monday August 20</w:t>
      </w:r>
      <w:r>
        <w:rPr>
          <w:vertAlign w:val="superscript"/>
        </w:rPr>
        <w:t>th</w:t>
      </w:r>
      <w:r>
        <w:rPr/>
        <w:t>.  If not, it will bring a written response to the meeting scheduled in Cincinnati at 10 am on the 21</w:t>
      </w:r>
      <w:r>
        <w:rPr>
          <w:vertAlign w:val="superscript"/>
        </w:rPr>
        <w:t>st</w:t>
      </w:r>
      <w:r>
        <w:rPr/>
        <w:t xml:space="preserve"> – location yet to be specified.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2001-08-15T12:40:00Z</dcterms:created>
  <dc:creator>kstroup</dc:creator>
  <dc:description/>
  <dc:language>en-CA</dc:language>
  <cp:lastModifiedBy>kstroup</cp:lastModifiedBy>
  <dcterms:modified xsi:type="dcterms:W3CDTF">2001-08-15T14:42:00Z</dcterms:modified>
  <cp:revision>1</cp:revision>
  <dc:subject/>
  <dc:title>FERC Facilitation of Dialog Regarding Alliance Stakeholder Advisory Process</dc:title>
</cp:coreProperties>
</file>