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Alliance Order RT01-88  7/12/01</w:t>
      </w:r>
    </w:p>
    <w:p>
      <w:pPr>
        <w:pStyle w:val="Normal"/>
        <w:rPr>
          <w:sz w:val="28"/>
        </w:rPr>
      </w:pPr>
      <w:r>
        <w:rPr>
          <w:sz w:val="28"/>
        </w:rPr>
      </w:r>
    </w:p>
    <w:p>
      <w:pPr>
        <w:pStyle w:val="Heading1"/>
        <w:ind w:hanging="0" w:start="0"/>
        <w:rPr/>
      </w:pPr>
      <w:r>
        <w:rPr/>
        <w:t>Order on RTO Filing</w:t>
      </w:r>
    </w:p>
    <w:p>
      <w:pPr>
        <w:pStyle w:val="Normal"/>
        <w:rPr/>
      </w:pPr>
      <w:r>
        <w:rPr/>
      </w:r>
    </w:p>
    <w:p>
      <w:pPr>
        <w:pStyle w:val="Normal"/>
        <w:rPr>
          <w:b/>
          <w:bCs/>
          <w:i/>
          <w:i/>
          <w:iCs/>
        </w:rPr>
      </w:pPr>
      <w:r>
        <w:rPr>
          <w:b/>
          <w:bCs/>
          <w:i/>
          <w:iCs/>
        </w:rPr>
        <w:t>Independence:</w:t>
      </w:r>
    </w:p>
    <w:p>
      <w:pPr>
        <w:pStyle w:val="Normal"/>
        <w:rPr/>
      </w:pPr>
      <w:r>
        <w:rPr/>
        <w:t>The order directs Alliance to establish an independent board to make all the business decisions for the RTO until implementation of the ARTO.  Until the final RTO is approved, FERC requires a stakeholder advisory committee to advise the independent board.</w:t>
      </w:r>
    </w:p>
    <w:p>
      <w:pPr>
        <w:pStyle w:val="Normal"/>
        <w:rPr/>
      </w:pPr>
      <w:r>
        <w:rPr/>
      </w:r>
    </w:p>
    <w:p>
      <w:pPr>
        <w:pStyle w:val="Normal"/>
        <w:rPr/>
      </w:pPr>
      <w:r>
        <w:rPr/>
        <w:t>The Commission does not now know who the potential outside investors are and therefore cannot rule definitively on the Alliance proposal.  Within 45 days, Alliance Companies must decide which alternative business plans they intend to implement.</w:t>
      </w:r>
    </w:p>
    <w:p>
      <w:pPr>
        <w:pStyle w:val="Normal"/>
        <w:rPr/>
      </w:pPr>
      <w:r>
        <w:rPr/>
      </w:r>
    </w:p>
    <w:p>
      <w:pPr>
        <w:pStyle w:val="Normal"/>
        <w:rPr>
          <w:b/>
          <w:bCs/>
          <w:i/>
          <w:i/>
          <w:iCs/>
        </w:rPr>
      </w:pPr>
      <w:r>
        <w:rPr>
          <w:b/>
          <w:bCs/>
          <w:i/>
          <w:iCs/>
        </w:rPr>
        <w:t>Scope and Configuration</w:t>
      </w:r>
    </w:p>
    <w:p>
      <w:pPr>
        <w:pStyle w:val="Normal"/>
        <w:rPr/>
      </w:pPr>
      <w:r>
        <w:rPr/>
        <w:t>Order continues finding of sufficient scope and configuration from prior orders in this RTO proceeding, however, the Commission reminds the Alliance Companies to continue their commitment to explore ways to expand with neighboring RTOs.</w:t>
      </w:r>
    </w:p>
    <w:p>
      <w:pPr>
        <w:pStyle w:val="Normal"/>
        <w:rPr/>
      </w:pPr>
      <w:r>
        <w:rPr/>
      </w:r>
    </w:p>
    <w:p>
      <w:pPr>
        <w:pStyle w:val="Heading2"/>
        <w:ind w:hanging="0" w:start="0"/>
        <w:rPr/>
      </w:pPr>
      <w:r>
        <w:rPr/>
        <w:t>Operational Authority</w:t>
      </w:r>
    </w:p>
    <w:p>
      <w:pPr>
        <w:pStyle w:val="Normal"/>
        <w:rPr/>
      </w:pPr>
      <w:r>
        <w:rPr/>
        <w:t>Previously found to be satisfactory in compliance with Order 2000</w:t>
      </w:r>
    </w:p>
    <w:p>
      <w:pPr>
        <w:pStyle w:val="Normal"/>
        <w:rPr/>
      </w:pPr>
      <w:r>
        <w:rPr/>
      </w:r>
    </w:p>
    <w:p>
      <w:pPr>
        <w:pStyle w:val="Heading2"/>
        <w:ind w:hanging="0" w:start="0"/>
        <w:rPr/>
      </w:pPr>
      <w:r>
        <w:rPr/>
        <w:t>Short-Term Reliability</w:t>
      </w:r>
    </w:p>
    <w:p>
      <w:pPr>
        <w:pStyle w:val="Normal"/>
        <w:rPr/>
      </w:pPr>
      <w:r>
        <w:rPr/>
        <w:t>Generally found in compliance with Order 2000 requirements.</w:t>
      </w:r>
    </w:p>
    <w:p>
      <w:pPr>
        <w:pStyle w:val="Normal"/>
        <w:rPr/>
      </w:pPr>
      <w:r>
        <w:rPr/>
        <w:t>Defer on interconnection procedures until Alliance files under Section 205.  Further in the near future the Commission will evaluate the importance of standardizing generation interconnection procedures.</w:t>
      </w:r>
    </w:p>
    <w:p>
      <w:pPr>
        <w:pStyle w:val="Normal"/>
        <w:rPr/>
      </w:pPr>
      <w:r>
        <w:rPr/>
      </w:r>
    </w:p>
    <w:p>
      <w:pPr>
        <w:pStyle w:val="Heading2"/>
        <w:ind w:hanging="0" w:start="0"/>
        <w:rPr/>
      </w:pPr>
      <w:r>
        <w:rPr/>
        <w:t>Tariff Administration and Design</w:t>
      </w:r>
    </w:p>
    <w:p>
      <w:pPr>
        <w:pStyle w:val="Normal"/>
        <w:rPr/>
      </w:pPr>
      <w:r>
        <w:rPr/>
        <w:t>ARTO will have a region wide tariff eliminating pancaking for deliveries to loads within Alliance and a single regional rate applicable to deliveries to load outside Alliance.  Williams raised a concern regarding rate differentials between loads inside Alliance and outside Alliance.  FERC will not rule until the rate proposal is finalized when Alliance files 120 days prior to service commencement (mid-August).</w:t>
      </w:r>
    </w:p>
    <w:p>
      <w:pPr>
        <w:pStyle w:val="Normal"/>
        <w:rPr/>
      </w:pPr>
      <w:r>
        <w:rPr/>
      </w:r>
    </w:p>
    <w:p>
      <w:pPr>
        <w:pStyle w:val="Heading2"/>
        <w:ind w:hanging="0" w:start="0"/>
        <w:rPr/>
      </w:pPr>
      <w:r>
        <w:rPr/>
        <w:t>Congestion Management</w:t>
      </w:r>
    </w:p>
    <w:p>
      <w:pPr>
        <w:pStyle w:val="Normal"/>
        <w:rPr/>
      </w:pPr>
      <w:r>
        <w:rPr/>
        <w:t>Alliance is developing a hybrid model for long-term congestion management which combines flowgate in the forward market and LMP in real-time.  Disputed issues include: capping bids for congestion, allocation and crediting of congestion revenues, allocation of flowgate rights, identification of flowgates, the appropriateness of using the flowgate method, ability to hedge against operational congestion and allocation of FGRs for annual load growth.  Alliance claims it is continuing to refine it CMS and the Commission states that it will address the proposal when it is filed.</w:t>
      </w:r>
    </w:p>
    <w:p>
      <w:pPr>
        <w:pStyle w:val="Normal"/>
        <w:rPr/>
      </w:pPr>
      <w:r>
        <w:rPr/>
      </w:r>
    </w:p>
    <w:p>
      <w:pPr>
        <w:pStyle w:val="Normal"/>
        <w:rPr/>
      </w:pPr>
      <w:r>
        <w:rPr/>
      </w:r>
    </w:p>
    <w:p>
      <w:pPr>
        <w:pStyle w:val="Normal"/>
        <w:rPr/>
      </w:pPr>
      <w:r>
        <w:rPr/>
      </w:r>
    </w:p>
    <w:p>
      <w:pPr>
        <w:pStyle w:val="Heading2"/>
        <w:ind w:hanging="0" w:start="0"/>
        <w:rPr/>
      </w:pPr>
      <w:r>
        <w:rPr/>
        <w:t>Parallel Path Flow</w:t>
      </w:r>
    </w:p>
    <w:p>
      <w:pPr>
        <w:pStyle w:val="Normal"/>
        <w:rPr/>
      </w:pPr>
      <w:r>
        <w:rPr/>
        <w:t>FERC directs Alliance Companies to meet with parties to develop a way of compensating small transmission owners for use of their systems.  It is expected that Alliance will make filings in time for FERC approval of procedures by the start-up date.</w:t>
      </w:r>
    </w:p>
    <w:p>
      <w:pPr>
        <w:pStyle w:val="Normal"/>
        <w:rPr/>
      </w:pPr>
      <w:r>
        <w:rPr/>
      </w:r>
    </w:p>
    <w:p>
      <w:pPr>
        <w:pStyle w:val="Heading2"/>
        <w:ind w:hanging="0" w:start="0"/>
        <w:rPr/>
      </w:pPr>
      <w:r>
        <w:rPr/>
        <w:t>Ancillary Services</w:t>
      </w:r>
    </w:p>
    <w:p>
      <w:pPr>
        <w:pStyle w:val="Normal"/>
        <w:rPr/>
      </w:pPr>
      <w:r>
        <w:rPr/>
        <w:t>ARTO will be the provider of last resort for ancillary services.  Alliance filed some further details on its energy balancing plan, however Interveners agued that it is still incomplete.  It appears that imbalances may not be attributed to bundled native load and no charges will be levied on the control area utility or its bundled retail customers in connection with their imbalances.  The order accepts that the ancillary services proposal is a work in progress but requires that these issues be address in the mid-August filing.</w:t>
      </w:r>
    </w:p>
    <w:p>
      <w:pPr>
        <w:pStyle w:val="Normal"/>
        <w:rPr/>
      </w:pPr>
      <w:r>
        <w:rPr/>
      </w:r>
    </w:p>
    <w:p>
      <w:pPr>
        <w:pStyle w:val="Heading2"/>
        <w:ind w:hanging="0" w:start="0"/>
        <w:rPr/>
      </w:pPr>
      <w:r>
        <w:rPr/>
        <w:t>OASIS, TTC and ATC</w:t>
      </w:r>
    </w:p>
    <w:p>
      <w:pPr>
        <w:pStyle w:val="Normal"/>
        <w:rPr/>
      </w:pPr>
      <w:r>
        <w:rPr/>
        <w:t>FERC directs again the Alliance Companies to develop a system of test and checks to ensure the reasonableness of data they propose to use.</w:t>
      </w:r>
    </w:p>
    <w:p>
      <w:pPr>
        <w:pStyle w:val="Normal"/>
        <w:rPr/>
      </w:pPr>
      <w:r>
        <w:rPr/>
      </w:r>
    </w:p>
    <w:p>
      <w:pPr>
        <w:pStyle w:val="Heading2"/>
        <w:ind w:hanging="0" w:start="0"/>
        <w:rPr/>
      </w:pPr>
      <w:r>
        <w:rPr/>
        <w:t>Market Monitoring</w:t>
      </w:r>
    </w:p>
    <w:p>
      <w:pPr>
        <w:pStyle w:val="Normal"/>
        <w:rPr/>
      </w:pPr>
      <w:r>
        <w:rPr/>
        <w:t>FERC directs Alliance to file their market monitoring proposal in the mid-August filing.</w:t>
      </w:r>
    </w:p>
    <w:p>
      <w:pPr>
        <w:pStyle w:val="Normal"/>
        <w:rPr/>
      </w:pPr>
      <w:r>
        <w:rPr/>
      </w:r>
    </w:p>
    <w:p>
      <w:pPr>
        <w:pStyle w:val="Heading2"/>
        <w:ind w:hanging="0" w:start="0"/>
        <w:rPr/>
      </w:pPr>
      <w:r>
        <w:rPr/>
        <w:t>Planning and Expansion</w:t>
      </w:r>
    </w:p>
    <w:p>
      <w:pPr>
        <w:pStyle w:val="Normal"/>
        <w:rPr/>
      </w:pPr>
      <w:r>
        <w:rPr/>
        <w:t>FERC finds that Alliance failed to support eliminating the Operational Planning Committee or revisions to the Reliability Planning Committee.  The order directs Alliance to refile the Planning Protocol without these changes.</w:t>
      </w:r>
    </w:p>
    <w:p>
      <w:pPr>
        <w:pStyle w:val="Normal"/>
        <w:rPr/>
      </w:pPr>
      <w:r>
        <w:rPr/>
      </w:r>
    </w:p>
    <w:p>
      <w:pPr>
        <w:pStyle w:val="Heading2"/>
        <w:ind w:hanging="0" w:start="0"/>
        <w:rPr/>
      </w:pPr>
      <w:r>
        <w:rPr/>
        <w:t>Interregional Coordination</w:t>
      </w:r>
    </w:p>
    <w:p>
      <w:pPr>
        <w:pStyle w:val="Normal"/>
        <w:rPr/>
      </w:pPr>
      <w:r>
        <w:rPr/>
        <w:t>The order finds that the Cooperation Agreement between Alliance and MISO provides for development of a “seamless market”.  FERC is deferring ruling on this issue until final mechanisms have been agreed upon.</w:t>
      </w:r>
    </w:p>
    <w:p>
      <w:pPr>
        <w:pStyle w:val="Normal"/>
        <w:rPr/>
      </w:pPr>
      <w:r>
        <w:rPr/>
      </w:r>
    </w:p>
    <w:p>
      <w:pPr>
        <w:pStyle w:val="Heading2"/>
        <w:ind w:hanging="0" w:start="0"/>
        <w:rPr/>
      </w:pPr>
      <w:r>
        <w:rPr/>
        <w:t>Open Architecture</w:t>
      </w:r>
    </w:p>
    <w:p>
      <w:pPr>
        <w:pStyle w:val="Normal"/>
        <w:rPr/>
      </w:pPr>
      <w:r>
        <w:rPr/>
        <w:t>Continues to defer ruling until Alliance protocols and agreements are finalized.</w:t>
      </w:r>
    </w:p>
    <w:p>
      <w:pPr>
        <w:pStyle w:val="Normal"/>
        <w:rPr/>
      </w:pPr>
      <w:r>
        <w:rPr/>
      </w:r>
    </w:p>
    <w:p>
      <w:pPr>
        <w:pStyle w:val="Heading2"/>
        <w:ind w:hanging="0" w:start="0"/>
        <w:rPr/>
      </w:pPr>
      <w:r>
        <w:rPr/>
        <w:t>Customer Advisory Process</w:t>
      </w:r>
    </w:p>
    <w:p>
      <w:pPr>
        <w:pStyle w:val="Normal"/>
        <w:rPr/>
      </w:pPr>
      <w:r>
        <w:rPr/>
        <w:t>Many parties protested the stakeholder involvement process, claiming that while meetings have been held no real input has occurred. FERC states that if the parties cannot develop an acceptable stakeholder process, the Commission will step in.  They offer their Office of Dispute Resolution and direct that changes be incorporated in the mid-August filing.</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2001-07-12T18:53:00Z</dcterms:created>
  <dc:creator>dfulton8</dc:creator>
  <dc:description/>
  <dc:language>en-CA</dc:language>
  <cp:lastModifiedBy>dfulton8</cp:lastModifiedBy>
  <cp:lastPrinted>2001-07-12T17:14:00Z</cp:lastPrinted>
  <dcterms:modified xsi:type="dcterms:W3CDTF">2001-07-12T18:53:00Z</dcterms:modified>
  <cp:revision>2</cp:revision>
  <dc:subject/>
  <dc:title>Alliance Order RT01-88  7/12/01</dc:title>
</cp:coreProperties>
</file>