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440" w:leader="none"/>
        </w:tabs>
        <w:ind w:hanging="7920" w:start="7920" w:end="0"/>
        <w:jc w:val="both"/>
        <w:rPr/>
      </w:pPr>
      <w:r>
        <w:rPr>
          <w:rFonts w:cs="Times New Roman" w:ascii="Times New Roman" w:hAnsi="Times New Roman"/>
          <w:b/>
          <w:sz w:val="30"/>
        </w:rPr>
        <w:t>DUE 3/12/01</w:t>
      </w:r>
      <w:r>
        <w:rPr>
          <w:rFonts w:cs="Times New Roman" w:ascii="Times New Roman" w:hAnsi="Times New Roman"/>
        </w:rPr>
        <w:tab/>
        <w:tab/>
        <w:tab/>
        <w:tab/>
        <w:tab/>
        <w:tab/>
        <w:tab/>
        <w:tab/>
        <w:tab/>
      </w:r>
      <w:r>
        <w:rPr>
          <w:rFonts w:cs="Times New Roman" w:ascii="Times New Roman" w:hAnsi="Times New Roman"/>
          <w:b/>
          <w:sz w:val="30"/>
        </w:rPr>
        <w:t>D R A F T</w:t>
      </w:r>
    </w:p>
    <w:p>
      <w:pPr>
        <w:pStyle w:val="Normal"/>
        <w:widowControl/>
        <w:ind w:firstLine="7920" w:end="0"/>
        <w:jc w:val="both"/>
        <w:rPr>
          <w:rFonts w:ascii="Times New Roman" w:hAnsi="Times New Roman" w:cs="Times New Roman"/>
        </w:rPr>
      </w:pPr>
      <w:r>
        <w:rPr>
          <w:rFonts w:cs="Times New Roman" w:ascii="Times New Roman" w:hAnsi="Times New Roman"/>
          <w:b/>
          <w:sz w:val="30"/>
        </w:rPr>
        <w:t>3/8/01</w:t>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sz w:val="28"/>
        </w:rPr>
        <w:t>UNITED STATES OF AMERICA</w:t>
      </w:r>
    </w:p>
    <w:p>
      <w:pPr>
        <w:pStyle w:val="Normal"/>
        <w:widowControl/>
        <w:tabs>
          <w:tab w:val="clear" w:pos="720"/>
          <w:tab w:val="center" w:pos="4680" w:leader="none"/>
        </w:tabs>
        <w:jc w:val="both"/>
        <w:rPr>
          <w:rFonts w:ascii="Times New Roman" w:hAnsi="Times New Roman" w:cs="Times New Roman"/>
          <w:b/>
          <w:sz w:val="28"/>
        </w:rPr>
      </w:pPr>
      <w:r>
        <w:rPr>
          <w:rFonts w:cs="Times New Roman" w:ascii="Times New Roman" w:hAnsi="Times New Roman"/>
          <w:b/>
          <w:sz w:val="28"/>
        </w:rPr>
        <w:tab/>
        <w:t>BEFORE THE</w:t>
      </w:r>
    </w:p>
    <w:p>
      <w:pPr>
        <w:pStyle w:val="Normal"/>
        <w:widowControl/>
        <w:tabs>
          <w:tab w:val="clear" w:pos="720"/>
          <w:tab w:val="center" w:pos="4680" w:leader="none"/>
        </w:tabs>
        <w:jc w:val="both"/>
        <w:rPr>
          <w:rFonts w:ascii="Times New Roman" w:hAnsi="Times New Roman" w:cs="Times New Roman"/>
          <w:sz w:val="28"/>
        </w:rPr>
      </w:pPr>
      <w:r>
        <w:rPr>
          <w:rFonts w:cs="Times New Roman" w:ascii="Times New Roman" w:hAnsi="Times New Roman"/>
          <w:b/>
          <w:sz w:val="28"/>
        </w:rPr>
        <w:tab/>
        <w:t>FEDERAL ENERGY REGULATORY COMMISSION</w:t>
      </w:r>
    </w:p>
    <w:p>
      <w:pPr>
        <w:pStyle w:val="Normal"/>
        <w:widowControl/>
        <w:jc w:val="both"/>
        <w:rPr>
          <w:rFonts w:ascii="Times New Roman" w:hAnsi="Times New Roman" w:cs="Times New Roman"/>
        </w:rPr>
      </w:pPr>
      <w:r>
        <w:rPr>
          <w:rFonts w:cs="Times New Roman" w:ascii="Times New Roman" w:hAnsi="Times New Roman"/>
        </w:rPr>
        <w:t>__________________________________________</w:t>
      </w:r>
    </w:p>
    <w:p>
      <w:pPr>
        <w:pStyle w:val="Normal"/>
        <w:widowControl/>
        <w:ind w:firstLine="504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Ameren Corporation</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Union Electric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Central Illinois Public Service Company</w:t>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American Electric Power Service Corporation</w:t>
        <w:tab/>
        <w:t>)</w:t>
      </w:r>
    </w:p>
    <w:p>
      <w:pPr>
        <w:pStyle w:val="Normal"/>
        <w:widowControl/>
        <w:tabs>
          <w:tab w:val="clear" w:pos="720"/>
          <w:tab w:val="left" w:pos="-1440" w:leader="none"/>
        </w:tabs>
        <w:ind w:hanging="6480" w:start="648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tab/>
        <w:tab/>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Appalachian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Columbus Southern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Indiana Michigan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Kentucky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Kingsport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Ohio Power Company</w:t>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Wheeling Power Company</w:t>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Consumers Energy Company</w:t>
        <w:tab/>
        <w:tab/>
        <w:tab/>
        <w:tab/>
        <w:t>)</w:t>
        <w:tab/>
        <w:tab/>
        <w:tab/>
        <w:tab/>
        <w:tab/>
      </w:r>
    </w:p>
    <w:p>
      <w:pPr>
        <w:pStyle w:val="Normal"/>
        <w:widowControl/>
        <w:tabs>
          <w:tab w:val="clear" w:pos="720"/>
          <w:tab w:val="left" w:pos="-1440" w:leader="none"/>
        </w:tabs>
        <w:ind w:hanging="5760" w:start="5760" w:end="0"/>
        <w:jc w:val="both"/>
        <w:rPr>
          <w:rFonts w:ascii="Times New Roman" w:hAnsi="Times New Roman" w:cs="Times New Roman"/>
        </w:rPr>
      </w:pPr>
      <w:r>
        <w:rPr>
          <w:rFonts w:cs="Times New Roman" w:ascii="Times New Roman" w:hAnsi="Times New Roman"/>
        </w:rPr>
        <w:t>Exelon Corporation</w:t>
        <w:tab/>
        <w:tab/>
        <w:tab/>
        <w:tab/>
        <w:tab/>
        <w:t>)</w:t>
        <w:tab/>
        <w:t>Docket No. RT01-88-000</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Commonwealth Edison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Commonwealth Edison Company of</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Indiana</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FirstEnergy Corp.</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The Cleveland Electric Illuminating</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Company</w:t>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Ohio Edison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Pennsylvania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The Toledo Edison Company</w:t>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Illinois Power Company</w:t>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The Dayton Power and Light Company</w:t>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Detroit Edison Company</w:t>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Virginia Electric and Power Company</w:t>
        <w:tab/>
        <w:tab/>
        <w:t>)</w:t>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jc w:val="both"/>
        <w:rPr>
          <w:rFonts w:ascii="Times New Roman" w:hAnsi="Times New Roman" w:cs="Times New Roman"/>
        </w:rPr>
      </w:pPr>
      <w:r>
        <w:rPr>
          <w:rFonts w:cs="Times New Roman" w:ascii="Times New Roman" w:hAnsi="Times New Roman"/>
        </w:rPr>
        <w:t>__________________________________________)</w:t>
      </w:r>
    </w:p>
    <w:p>
      <w:pPr>
        <w:pStyle w:val="Normal"/>
        <w:widowControl/>
        <w:ind w:firstLine="1440" w:end="0"/>
        <w:jc w:val="both"/>
        <w:rPr>
          <w:rFonts w:ascii="Times New Roman" w:hAnsi="Times New Roman" w:cs="Times New Roman"/>
        </w:rPr>
      </w:pPr>
      <w:r>
        <w:rPr>
          <w:rFonts w:cs="Times New Roman" w:ascii="Times New Roman" w:hAnsi="Times New Roman"/>
        </w:rPr>
        <w:t xml:space="preserve">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sz w:val="26"/>
        </w:rPr>
        <w:t>PROTEST</w:t>
      </w:r>
    </w:p>
    <w:p>
      <w:pPr>
        <w:pStyle w:val="Normal"/>
        <w:widowControl/>
        <w:jc w:val="center"/>
        <w:rPr>
          <w:rFonts w:ascii="Times New Roman" w:hAnsi="Times New Roman" w:cs="Times New Roman"/>
        </w:rPr>
      </w:pPr>
      <w:r>
        <w:rPr>
          <w:rFonts w:cs="Times New Roman" w:ascii="Times New Roman" w:hAnsi="Times New Roman"/>
          <w:b/>
          <w:sz w:val="26"/>
        </w:rPr>
        <w:t>OF ENRON POWER MARKETING, INC.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ind w:firstLine="720" w:end="0"/>
        <w:jc w:val="both"/>
        <w:rPr/>
      </w:pPr>
      <w:r>
        <w:rPr>
          <w:rFonts w:cs="Times New Roman" w:ascii="Times New Roman" w:hAnsi="Times New Roman"/>
        </w:rPr>
        <w:t xml:space="preserve">Pursuant to 18 C.F.R. </w:t>
      </w:r>
      <w:r>
        <w:rPr>
          <w:rFonts w:cs="WP TypographicSymbols" w:ascii="WP TypographicSymbols" w:hAnsi="WP TypographicSymbols"/>
        </w:rPr>
        <w:t>'</w:t>
      </w:r>
      <w:r>
        <w:rPr>
          <w:rFonts w:cs="Times New Roman" w:ascii="Times New Roman" w:hAnsi="Times New Roman"/>
        </w:rPr>
        <w:t> 385.211 (2000) and the Commission's January 26, 2001, Notice of Filing, Enron Power Marketing, Inc. ("EPMI"), an intervener in this proceeding, hereby protests the filing in the above-captioned docket.  In support, EPMI states:</w:t>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jc w:val="both"/>
        <w:rPr>
          <w:rFonts w:ascii="Times New Roman" w:hAnsi="Times New Roman" w:cs="Times New Roman"/>
          <w:b/>
          <w:sz w:val="26"/>
        </w:rPr>
      </w:pPr>
      <w:r>
        <w:rPr>
          <w:rFonts w:cs="Times New Roman" w:ascii="Times New Roman" w:hAnsi="Times New Roman"/>
          <w:b/>
          <w:sz w:val="26"/>
        </w:rPr>
        <w:tab/>
        <w:t>I.</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sz w:val="26"/>
        </w:rPr>
        <w:tab/>
        <w:t>BACKGROUND</w:t>
      </w:r>
    </w:p>
    <w:p>
      <w:pPr>
        <w:pStyle w:val="Normal"/>
        <w:widowControl/>
        <w:jc w:val="both"/>
        <w:rPr>
          <w:rFonts w:ascii="Times New Roman" w:hAnsi="Times New Roman" w:cs="Times New Roman"/>
        </w:rPr>
      </w:pPr>
      <w:r>
        <w:rPr>
          <w:rFonts w:cs="Times New Roman" w:ascii="Times New Roman" w:hAnsi="Times New Roman"/>
        </w:rPr>
      </w:r>
    </w:p>
    <w:p>
      <w:pPr>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On January 16, 2001, </w:t>
      </w:r>
      <w:r>
        <w:rPr>
          <w:rFonts w:cs="CG Times" w:ascii="CG Times" w:hAnsi="CG Times"/>
        </w:rPr>
        <w:t>Ameren Corporation ("Ameren"), on behalf of Union Electric Company and Central Illinois Public Service Company; American Electric Power Service Corporation ("AEP"), on behalf of Appalachian Power Company, Columbus Southern Power Company, Indiana Michigan Power Company, Kentucky Power Company, Kingsport Power Company, Ohio Power Company, and Wheeling Power Company; Consumers Energy Company; Exelon Corporation, on behalf of Commonwealth Edison Company and Commonwealth Edison Company of Indiana, Inc. ("ComEd"); FirstEnergy Corp. ("FirstEnergy"), on behalf of American Transmission Systems, Inc., The Cleveland Electric Illuminating Company, Ohio Edison Company, Pennsylvania Power Company, and The Toledo Edison Company; Illinois Power Company ("Illinois Power"); The Dayton Power and Light Company ("DP&amp;L"); The Detroit Edison Company; and Virginia Electric and Power Company (collectively, "the Alliance Companies") jointly submitted an Order No. 2000</w:t>
      </w:r>
      <w:r>
        <w:rPr>
          <w:rStyle w:val="FootnoteCharacters"/>
          <w:rStyle w:val="FootnoteReference"/>
          <w:rFonts w:cs="CG Times" w:ascii="CG Times" w:hAnsi="CG Times"/>
          <w:vertAlign w:val="superscript"/>
        </w:rPr>
        <w:footnoteReference w:id="2"/>
      </w:r>
      <w:r>
        <w:rPr>
          <w:rFonts w:cs="CG Times" w:ascii="CG Times" w:hAnsi="CG Times"/>
        </w:rPr>
        <w:t xml:space="preserve"> compliance filing ("January 16 filing"). The Alliance Companies state that the Alliance Companies' Regional Transmission Organization ("RTO") satisfies the minimum characteristics and functions of an RTO as set forth in Order No. 2000. Applicants further state that they request that the Commission accept amendments to the Alliance Agreement and grant authorization to Ameren, ComEd, Illinois Power and DP&amp;L to transfer ownership and/or functional control of their transmission facilities to the Alliance RTO.</w:t>
      </w:r>
    </w:p>
    <w:p>
      <w:pPr>
        <w:pStyle w:val="Normal"/>
        <w:widowControl/>
        <w:spacing w:lineRule="auto" w:line="480"/>
        <w:ind w:firstLine="720" w:end="0"/>
        <w:jc w:val="both"/>
        <w:rPr>
          <w:rFonts w:ascii="CG Times" w:hAnsi="CG Times" w:cs="CG Times"/>
        </w:rPr>
      </w:pPr>
      <w:r>
        <w:rPr>
          <w:rFonts w:cs="CG Times" w:ascii="CG Times" w:hAnsi="CG Times"/>
        </w:rPr>
        <w:t>On January 24, 2001, the Commission issued an order finding that Alliance Companies had met some (but not all) of the minimum characteristics and functions of an RTO and provided guidance to Alliance Companies under the RTO principles, which Alliance Companies were directed to incorporate into their compliance filing.</w:t>
      </w:r>
    </w:p>
    <w:p>
      <w:pPr>
        <w:pStyle w:val="Normal"/>
        <w:widowControl/>
        <w:spacing w:lineRule="auto" w:line="480"/>
        <w:jc w:val="both"/>
        <w:rPr>
          <w:rFonts w:ascii="CG Times" w:hAnsi="CG Times" w:cs="CG Times"/>
        </w:rPr>
      </w:pPr>
      <w:r>
        <w:rPr>
          <w:rFonts w:cs="CG Times" w:ascii="CG Times" w:hAnsi="CG Times"/>
        </w:rPr>
      </w:r>
    </w:p>
    <w:p>
      <w:pPr>
        <w:pStyle w:val="Normal"/>
        <w:widowControl/>
        <w:jc w:val="center"/>
        <w:rPr>
          <w:rFonts w:ascii="CG Times" w:hAnsi="CG Times" w:cs="CG Times"/>
          <w:b/>
          <w:sz w:val="26"/>
        </w:rPr>
      </w:pPr>
      <w:r>
        <w:rPr>
          <w:rFonts w:cs="CG Times" w:ascii="CG Times" w:hAnsi="CG Times"/>
          <w:b/>
          <w:sz w:val="26"/>
        </w:rPr>
        <w:t>II.</w:t>
      </w:r>
    </w:p>
    <w:p>
      <w:pPr>
        <w:pStyle w:val="Normal"/>
        <w:widowControl/>
        <w:jc w:val="center"/>
        <w:rPr>
          <w:rFonts w:ascii="CG Times" w:hAnsi="CG Times" w:cs="CG Times"/>
          <w:b/>
          <w:sz w:val="26"/>
        </w:rPr>
      </w:pPr>
      <w:r>
        <w:rPr>
          <w:rFonts w:cs="CG Times" w:ascii="CG Times" w:hAnsi="CG Times"/>
          <w:b/>
          <w:sz w:val="26"/>
        </w:rPr>
        <w:t>EXECUTIVE SUMMARY</w:t>
      </w:r>
    </w:p>
    <w:p>
      <w:pPr>
        <w:pStyle w:val="Normal"/>
        <w:widowControl/>
        <w:jc w:val="center"/>
        <w:rPr>
          <w:rFonts w:ascii="CG Times" w:hAnsi="CG Times" w:cs="CG Times"/>
          <w:b/>
          <w:sz w:val="26"/>
        </w:rPr>
      </w:pPr>
      <w:r>
        <w:rPr>
          <w:rFonts w:cs="CG Times" w:ascii="CG Times" w:hAnsi="CG Times"/>
          <w:b/>
          <w:sz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Once again EPMI must protest one of the Alliance Companies' RTO filings.  While Alliance Companies' proposal has the potential for ultimately fulfilling the critical responsibilities with which the Commission has tasked RTOs, it fails to fulfill those responsibilities into the forseeable future. The Commission at least in part, recognized that Alliance Companies' proposal still lacks the appropriate characteristics and functions because it required yet another compliance filing in its January 24 order.  Although the Commission accepted aspects of Alliance Companies' proposal in the January 24 order, rehearing requests of that order have been filed.  Moreover, the report of Chief Administrative Law Judge Curtis L. Wagner, Jr., in the settlement proceeding in Docket No. ER01-123-000 states that many issues surrounding the Alliance RTO have been unanimously resolved in that docket as well as in the instant RTO docket.  Despite the progress that may have been made in the settlement discussion, and the Commission's acceptance of aspects of the Alliance proposal, the filing in Docket No. RT01-88-000 still raises many unresolved issues.  Specifically, the Alliance RTO proposal still is deficient in the following respects:  </w:t>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b/>
        </w:rPr>
        <w:t>Congestion Management</w:t>
      </w:r>
      <w:r>
        <w:rPr>
          <w:rFonts w:cs="Times New Roman" w:ascii="Times New Roman" w:hAnsi="Times New Roman"/>
        </w:rPr>
        <w:t xml:space="preserve"> - The hybrid congestion management proposal is promising.  It fails, however, in critical respects.  Most significantly, due to its allocation of flowgate rights (</w:t>
      </w:r>
      <w:r>
        <w:rPr>
          <w:rFonts w:cs="WP TypographicSymbols" w:ascii="WP TypographicSymbols" w:hAnsi="WP TypographicSymbols"/>
        </w:rPr>
        <w:t>A</w:t>
      </w:r>
      <w:r>
        <w:rPr>
          <w:rFonts w:cs="Times New Roman" w:ascii="Times New Roman" w:hAnsi="Times New Roman"/>
        </w:rPr>
        <w:t>FGRs</w:t>
      </w:r>
      <w:r>
        <w:rPr>
          <w:rFonts w:cs="WP TypographicSymbols" w:ascii="WP TypographicSymbols" w:hAnsi="WP TypographicSymbols"/>
        </w:rPr>
        <w:t>@</w:t>
      </w:r>
      <w:r>
        <w:rPr>
          <w:rFonts w:cs="Times New Roman" w:ascii="Times New Roman" w:hAnsi="Times New Roman"/>
        </w:rPr>
        <w:t>) to incumbents, it does not provide a market for offering FGRs.  In addition, it lacks sufficient details on the determination of commercially significant flowgates.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b/>
        </w:rPr>
        <w:t xml:space="preserve">Real-Time Energy Market </w:t>
      </w:r>
      <w:r>
        <w:rPr>
          <w:rFonts w:cs="Times New Roman" w:ascii="Times New Roman" w:hAnsi="Times New Roman"/>
        </w:rPr>
        <w:t>- The proposal fails to establish a real time energy market and inappropriately requires balanced schedules.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b/>
        </w:rPr>
        <w:t>Consolidate Commercial Control Area Functions in the RTO</w:t>
      </w:r>
      <w:r>
        <w:rPr>
          <w:rFonts w:cs="Times New Roman" w:ascii="Times New Roman" w:hAnsi="Times New Roman"/>
        </w:rPr>
        <w:t xml:space="preserve"> - The proposal fails to transfer reservation and scheduling functions from existing control areas to the RTO.</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b/>
        </w:rPr>
        <w:t>Internal Trading Hubs</w:t>
      </w:r>
      <w:r>
        <w:rPr>
          <w:rFonts w:cs="Times New Roman" w:ascii="Times New Roman" w:hAnsi="Times New Roman"/>
        </w:rPr>
        <w:t xml:space="preserve"> - The proposal fails to establish internal trading hubs.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b/>
        </w:rPr>
        <w:t>Scope and Configuration</w:t>
      </w:r>
      <w:r>
        <w:rPr>
          <w:rFonts w:cs="Times New Roman" w:ascii="Times New Roman" w:hAnsi="Times New Roman"/>
        </w:rPr>
        <w:t xml:space="preserve"> - The current proposal does not establish an appropriate scope and configuration because it does not internalize parallel path flows or consolidate patterns of trading and arbitrage.</w:t>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spacing w:lineRule="auto" w:line="480"/>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keepNext w:val="true"/>
        <w:keepLines/>
        <w:widowControl/>
        <w:tabs>
          <w:tab w:val="clear" w:pos="720"/>
          <w:tab w:val="center" w:pos="4680" w:leader="none"/>
        </w:tabs>
        <w:jc w:val="both"/>
        <w:rPr>
          <w:rFonts w:ascii="Times New Roman" w:hAnsi="Times New Roman" w:cs="Times New Roman"/>
          <w:b/>
          <w:sz w:val="26"/>
        </w:rPr>
      </w:pPr>
      <w:r>
        <w:rPr>
          <w:rFonts w:cs="Times New Roman" w:ascii="Times New Roman" w:hAnsi="Times New Roman"/>
          <w:b/>
          <w:sz w:val="26"/>
        </w:rPr>
        <w:tab/>
        <w:t>III.</w:t>
      </w:r>
    </w:p>
    <w:p>
      <w:pPr>
        <w:pStyle w:val="Normal"/>
        <w:keepNext w:val="true"/>
        <w:keepLines/>
        <w:widowControl/>
        <w:tabs>
          <w:tab w:val="clear" w:pos="720"/>
          <w:tab w:val="center" w:pos="4680" w:leader="none"/>
        </w:tabs>
        <w:jc w:val="both"/>
        <w:rPr>
          <w:rFonts w:ascii="Times New Roman" w:hAnsi="Times New Roman" w:cs="Times New Roman"/>
          <w:b/>
        </w:rPr>
      </w:pPr>
      <w:r>
        <w:rPr>
          <w:rFonts w:cs="Times New Roman" w:ascii="Times New Roman" w:hAnsi="Times New Roman"/>
          <w:b/>
          <w:sz w:val="26"/>
        </w:rPr>
        <w:tab/>
        <w:t>PROTEST</w:t>
      </w:r>
    </w:p>
    <w:p>
      <w:pPr>
        <w:pStyle w:val="Normal"/>
        <w:keepNext w:val="true"/>
        <w:keepLines/>
        <w:widowControl/>
        <w:jc w:val="both"/>
        <w:rPr>
          <w:rFonts w:ascii="Times New Roman" w:hAnsi="Times New Roman" w:cs="Times New Roman"/>
          <w:b/>
        </w:rPr>
      </w:pPr>
      <w:r>
        <w:rPr>
          <w:rFonts w:cs="Times New Roman" w:ascii="Times New Roman" w:hAnsi="Times New Roman"/>
          <w:b/>
        </w:rPr>
      </w:r>
    </w:p>
    <w:p>
      <w:pPr>
        <w:pStyle w:val="Normal"/>
        <w:keepNext w:val="true"/>
        <w:keepLines/>
        <w:widowControl/>
        <w:tabs>
          <w:tab w:val="clear" w:pos="720"/>
          <w:tab w:val="left" w:pos="-1440" w:leader="none"/>
        </w:tabs>
        <w:ind w:hanging="720" w:start="1440" w:end="0"/>
        <w:jc w:val="both"/>
        <w:rPr>
          <w:rFonts w:ascii="Times New Roman" w:hAnsi="Times New Roman" w:cs="Times New Roman"/>
          <w:b/>
          <w:i/>
          <w:i/>
          <w:sz w:val="26"/>
        </w:rPr>
      </w:pPr>
      <w:r>
        <w:rPr>
          <w:rFonts w:cs="Times New Roman" w:ascii="Times New Roman" w:hAnsi="Times New Roman"/>
          <w:b/>
          <w:i/>
          <w:sz w:val="26"/>
        </w:rPr>
        <w:t>A.</w:t>
        <w:tab/>
        <w:t>The Proposed Mechanism for Managing Congestion Is Seriously Flawed in How Alliance Companies Propose to Make Flowgates Available</w:t>
      </w:r>
    </w:p>
    <w:p>
      <w:pPr>
        <w:pStyle w:val="Normal"/>
        <w:keepNext w:val="true"/>
        <w:keepLines/>
        <w:widowControl/>
        <w:jc w:val="both"/>
        <w:rPr>
          <w:rFonts w:ascii="Times New Roman" w:hAnsi="Times New Roman" w:cs="Times New Roman"/>
          <w:b/>
          <w:i/>
          <w:i/>
          <w:sz w:val="26"/>
        </w:rPr>
      </w:pPr>
      <w:r>
        <w:rPr>
          <w:rFonts w:cs="Times New Roman" w:ascii="Times New Roman" w:hAnsi="Times New Roman"/>
          <w:b/>
          <w:i/>
          <w:sz w:val="26"/>
        </w:rPr>
      </w:r>
    </w:p>
    <w:p>
      <w:pPr>
        <w:pStyle w:val="Normal"/>
        <w:keepLines/>
        <w:widowControl/>
        <w:spacing w:lineRule="auto" w:line="480"/>
        <w:ind w:firstLine="720" w:end="0"/>
        <w:jc w:val="both"/>
        <w:rPr/>
      </w:pPr>
      <w:r>
        <w:rPr>
          <w:rFonts w:cs="Times New Roman" w:ascii="Times New Roman" w:hAnsi="Times New Roman"/>
        </w:rPr>
        <w:t xml:space="preserve">Alliance Companies propose for the near term to manage congestion through market-based generation redispatch and rationing using NERC-recommended congestion management procedures.  </w:t>
      </w:r>
      <w:r>
        <w:rPr>
          <w:rFonts w:cs="Times New Roman" w:ascii="Times New Roman" w:hAnsi="Times New Roman"/>
          <w:i/>
        </w:rPr>
        <w:t>See</w:t>
      </w:r>
      <w:r>
        <w:rPr>
          <w:rFonts w:cs="Times New Roman" w:ascii="Times New Roman" w:hAnsi="Times New Roman"/>
        </w:rPr>
        <w:t xml:space="preserve"> </w:t>
      </w:r>
      <w:r>
        <w:rPr>
          <w:rFonts w:cs="Times New Roman" w:ascii="Times New Roman" w:hAnsi="Times New Roman"/>
          <w:i/>
        </w:rPr>
        <w:t xml:space="preserve">Alliance Companies' Compliance Filing, Attachment G </w:t>
      </w:r>
      <w:r>
        <w:rPr>
          <w:rFonts w:cs="Times New Roman" w:ascii="Times New Roman" w:hAnsi="Times New Roman"/>
        </w:rPr>
        <w:t xml:space="preserve">at 25, Docket No. ER99-3144-001, </w:t>
      </w:r>
      <w:r>
        <w:rPr>
          <w:rFonts w:cs="Times New Roman" w:ascii="Times New Roman" w:hAnsi="Times New Roman"/>
          <w:i/>
        </w:rPr>
        <w:t>et al.</w:t>
      </w:r>
      <w:r>
        <w:rPr>
          <w:rFonts w:cs="Times New Roman" w:ascii="Times New Roman" w:hAnsi="Times New Roman"/>
        </w:rPr>
        <w:t xml:space="preserve"> (Filed September 15, 2000)("</w:t>
      </w:r>
      <w:r>
        <w:rPr>
          <w:rFonts w:cs="Times New Roman" w:ascii="Times New Roman" w:hAnsi="Times New Roman"/>
          <w:i/>
        </w:rPr>
        <w:t>September 15 Filing</w:t>
      </w:r>
      <w:r>
        <w:rPr>
          <w:rFonts w:cs="Times New Roman" w:ascii="Times New Roman" w:hAnsi="Times New Roman"/>
        </w:rPr>
        <w:t xml:space="preserve">").  By December 15, 2002, Alliance Companies propose to replace that near-term congestion management system ("CMS") with what it refers to as a hybrid approach.  It relies on a market mechanism to trade physical transmission rights (called flowgate rights or "FGRs") in forward markets and uses locational marginal pricing ("LMP") for real-time accounting for imbalances.  This hybrid has the potential for promoting both productive and allocative efficiency in transmission.  Alliance Companies may spoil that potential, in two respects:  (1) by using an administrative allocation rather than a market mechanism to make FGRs available; and (2) by requiring day ahead balanced schedules that limit the real-time market to balanced schedules only, rather than creating a real-time energy market where actual pricing of supply and demand is transparent.  </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First, Alliance proposes to allocate a significant majority (and possibly all) of FGRs to existing transmission customers, without regard to their willingness to pay for them.  If implemented, that will deprive the market of </w:t>
      </w:r>
      <w:r>
        <w:rPr>
          <w:rFonts w:cs="Times New Roman" w:ascii="Times New Roman" w:hAnsi="Times New Roman"/>
          <w:i/>
        </w:rPr>
        <w:t>any</w:t>
      </w:r>
      <w:r>
        <w:rPr>
          <w:rFonts w:cs="Times New Roman" w:ascii="Times New Roman" w:hAnsi="Times New Roman"/>
        </w:rPr>
        <w:t xml:space="preserve"> improvement in the allocative efficiency of the transmission market.  Alliance Companies leave open the potential for auctioning the remaining FGRs, or in the alternative, auctioning all FGRs initially.  </w:t>
      </w:r>
      <w:r>
        <w:rPr>
          <w:rFonts w:cs="Times New Roman" w:ascii="Times New Roman" w:hAnsi="Times New Roman"/>
          <w:i/>
        </w:rPr>
        <w:t>Attachment G</w:t>
      </w:r>
      <w:r>
        <w:rPr>
          <w:rFonts w:cs="Times New Roman" w:ascii="Times New Roman" w:hAnsi="Times New Roman"/>
        </w:rPr>
        <w:t xml:space="preserve"> at 7.  It is unclear, however, how many FGRs actually will be available for auction after the allocation to existing transmission customers, and EPMI fears that, in fact, very few will be available to all market participants.   </w:t>
      </w:r>
    </w:p>
    <w:p>
      <w:pPr>
        <w:pStyle w:val="Normal"/>
        <w:widowControl/>
        <w:spacing w:lineRule="auto" w:line="480"/>
        <w:ind w:firstLine="720" w:end="0"/>
        <w:jc w:val="both"/>
        <w:rPr/>
      </w:pPr>
      <w:r>
        <w:rPr>
          <w:rFonts w:cs="Times New Roman" w:ascii="Times New Roman" w:hAnsi="Times New Roman"/>
        </w:rPr>
        <w:t>In its broad outlines, the CMS that Alliance Companies propose has some positive features.  It could potentially support a competitive and reliable bulk power market with EPMI</w:t>
      </w:r>
      <w:r>
        <w:rPr>
          <w:rFonts w:cs="WP TypographicSymbols" w:ascii="WP TypographicSymbols" w:hAnsi="WP TypographicSymbols"/>
        </w:rPr>
        <w:t>=</w:t>
      </w:r>
      <w:r>
        <w:rPr>
          <w:rFonts w:cs="Times New Roman" w:ascii="Times New Roman" w:hAnsi="Times New Roman"/>
        </w:rPr>
        <w:t xml:space="preserve">s proposed changes.  It has this potential because it creates physical property rights to the capacity of the regional grid, FGRs.  Because FGRs will be homogenous they can be tradable in secondary markets.  The ability to trade on a continuous basis in secondary markets is essential to the ability of buyers and sellers to take forward positions that can hedge them against the cost of congestion and price volatility in short-term energy markets.  To support forward positions, power sellers and buyers could purchase, at known prices, FGRs sufficient to support future delivery or receipt obligations and ensure that those obligations are protected against delivery risk.  If those obligations were to change, the holder of a position could either release its FGRs to the secondary market or go to the secondary market to acquire more. </w:t>
      </w:r>
    </w:p>
    <w:p>
      <w:pPr>
        <w:pStyle w:val="Normal"/>
        <w:widowControl/>
        <w:spacing w:lineRule="auto" w:line="480"/>
        <w:ind w:firstLine="720" w:end="0"/>
        <w:jc w:val="both"/>
        <w:rPr/>
      </w:pPr>
      <w:r>
        <w:rPr>
          <w:rFonts w:cs="Times New Roman" w:ascii="Times New Roman" w:hAnsi="Times New Roman"/>
        </w:rPr>
        <w:t xml:space="preserve">In addition, FGRs have the ability to reflect market valuation of the locational value of transmission </w:t>
      </w:r>
      <w:r>
        <w:rPr>
          <w:rFonts w:cs="WP TypographicSymbols" w:ascii="WP TypographicSymbols" w:hAnsi="WP TypographicSymbols"/>
        </w:rPr>
        <w:t>C</w:t>
      </w:r>
      <w:r>
        <w:rPr>
          <w:rFonts w:cs="Times New Roman" w:ascii="Times New Roman" w:hAnsi="Times New Roman"/>
        </w:rPr>
        <w:t xml:space="preserve"> </w:t>
      </w:r>
      <w:r>
        <w:rPr>
          <w:rFonts w:cs="Times New Roman" w:ascii="Times New Roman" w:hAnsi="Times New Roman"/>
          <w:i/>
        </w:rPr>
        <w:t>i.e.</w:t>
      </w:r>
      <w:r>
        <w:rPr>
          <w:rFonts w:cs="Times New Roman" w:ascii="Times New Roman" w:hAnsi="Times New Roman"/>
        </w:rPr>
        <w:t>, the difference in the price of energy at two different locations.  By reason of this ability, the proposed CMS can provide accurate information on the market value of transmission, informing decisions on when, where and how to invest in future expansions or upgrades of the Alliance RTO and in new generating facilities.  This information could be generated both in the initial and secondary market sales of FGRs, resulting in market-based price curves showing the value of transmission capacity now and well into the future.</w:t>
      </w:r>
    </w:p>
    <w:p>
      <w:pPr>
        <w:pStyle w:val="Normal"/>
        <w:widowControl/>
        <w:spacing w:lineRule="auto" w:line="480"/>
        <w:ind w:firstLine="5760" w:end="0"/>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  </w:t>
      </w:r>
      <w:r>
        <w:rPr>
          <w:rFonts w:cs="Times New Roman" w:ascii="Times New Roman" w:hAnsi="Times New Roman"/>
        </w:rPr>
        <w:tab/>
      </w:r>
      <w:r>
        <w:rPr>
          <w:rFonts w:cs="Times New Roman" w:ascii="Times New Roman" w:hAnsi="Times New Roman"/>
          <w:b/>
          <w:i/>
        </w:rPr>
        <w:t>1.</w:t>
        <w:tab/>
        <w:t xml:space="preserve">Allocating FGRs Administratively to Incumbent Purchasers, Irrespective of Price, Robs Alliance Companies' CMS Proposal of the Allocative Efficiency of a Market </w:t>
      </w:r>
      <w:r>
        <w:rPr>
          <w:rFonts w:cs="WP TypographicSymbols" w:ascii="WP TypographicSymbols" w:hAnsi="WP TypographicSymbols"/>
          <w:b/>
          <w:i/>
        </w:rPr>
        <w:t>C</w:t>
      </w:r>
      <w:r>
        <w:rPr>
          <w:rFonts w:cs="Times New Roman" w:ascii="Times New Roman" w:hAnsi="Times New Roman"/>
          <w:b/>
          <w:i/>
        </w:rPr>
        <w:t xml:space="preserve"> </w:t>
      </w:r>
      <w:r>
        <w:rPr>
          <w:rFonts w:cs="Times New Roman" w:ascii="Times New Roman" w:hAnsi="Times New Roman"/>
        </w:rPr>
        <w:t xml:space="preserve">In order for the CMS proposal to truly be effective, Alliance Companies should be directed to make FGRs available through a market mechanism.  If all are offered to market participants in an open market </w:t>
      </w:r>
      <w:r>
        <w:rPr>
          <w:rFonts w:cs="WP TypographicSymbols" w:ascii="WP TypographicSymbols" w:hAnsi="WP TypographicSymbols"/>
        </w:rPr>
        <w:t>C</w:t>
      </w:r>
      <w:r>
        <w:rPr>
          <w:rFonts w:cs="Times New Roman" w:ascii="Times New Roman" w:hAnsi="Times New Roman"/>
        </w:rPr>
        <w:t xml:space="preserve"> for example through periodic auctions and, between auctions, through bilateral trading </w:t>
      </w:r>
      <w:r>
        <w:rPr>
          <w:rFonts w:cs="WP TypographicSymbols" w:ascii="WP TypographicSymbols" w:hAnsi="WP TypographicSymbols"/>
        </w:rPr>
        <w:t>C</w:t>
      </w:r>
      <w:r>
        <w:rPr>
          <w:rFonts w:cs="Times New Roman" w:ascii="Times New Roman" w:hAnsi="Times New Roman"/>
        </w:rPr>
        <w:t xml:space="preserve"> the proposed FGRs could produce a high level of allocative efficiency.  Rights to constrained transmission would be appropriately valued in relation to generation and would be distributed to the highest valued uses.  In addition to productive efficiency, this is precisely the type of allocative efficiency that a market mechanism for CMS should produce.</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Rather than rely on market mechanisms, the Alliance Companies propose instead to allocate FGRs through administrative processes to certain existing customers.  This will prevent the FGRs from reflecting the relative market value of transmission versus generation over any economically significant time frames.  Indeed, if implemented in this manner, the Alliance Companies' CMS will offer only a glimpse of market values in the short-term secondary market in which those who receive an administrative allocation can release FGRs.  If the FGRs are to be deprived of any market valuation in this fashion, then they will be useful only for clearing imbalances.  Further, administrative allocation, as proposed, will mean that only incumbents with captive load will be able to own FGRs if no auction is permitted.  This will stand in the way of jurisdictions that elect to pursue retail competition.  In a competitive retail market, FGRs should be available to whomever needs to fulfill their obligations to serve load, and not merely to incumbents.</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Acceptance of Alliance Companies' RTO proposal should be made contingent on Alliance Companies committing to replace the administrative allocation with a process for marketing FGRs through periodic auctions and bilateral trading.  Although Alliance Companies' appear to be considering some auctioning, the Commission should require that this be a feature of the proposed CMS from Day 1 forward.  At a minimum, the Commission should order Alliance Companies  to transition expeditiously from an administrative allocation to a market-based auction.  For example, the transition could begin in the first year of Alliance Companies' RTO with twenty-five percent of the FGRs on each commercially significant flowgate being offered in a market-based auction, with the auctioned percentage of FGRs increasing by an additional twenty-five percent in each following year.  The CMS would then be fully market-based in three years.</w:t>
      </w:r>
    </w:p>
    <w:p>
      <w:pPr>
        <w:pStyle w:val="Normal"/>
        <w:widowControl/>
        <w:spacing w:lineRule="auto" w:line="480"/>
        <w:ind w:firstLine="1440" w:end="0"/>
        <w:jc w:val="both"/>
        <w:rPr/>
      </w:pPr>
      <w:r>
        <w:rPr>
          <w:rFonts w:cs="Times New Roman" w:ascii="Times New Roman" w:hAnsi="Times New Roman"/>
          <w:b/>
          <w:i/>
        </w:rPr>
        <w:t>2.  Alliance Companies Should Disclose How They Plan to Determine Which Flowgates are Commercially Significant and Must Limit Changes in the Availability of FGRs</w:t>
      </w:r>
      <w:r>
        <w:rPr>
          <w:rFonts w:cs="Times New Roman" w:ascii="Times New Roman" w:hAnsi="Times New Roman"/>
        </w:rPr>
        <w:t xml:space="preserve"> - Alliance Companies estimate that there may be more than 100 CSFs in the Alliance RTO region.  </w:t>
      </w:r>
      <w:r>
        <w:rPr>
          <w:rFonts w:cs="Times New Roman" w:ascii="Times New Roman" w:hAnsi="Times New Roman"/>
          <w:i/>
        </w:rPr>
        <w:t>See January 16 Filing, Attachment G</w:t>
      </w:r>
      <w:r>
        <w:rPr>
          <w:rFonts w:cs="Times New Roman" w:ascii="Times New Roman" w:hAnsi="Times New Roman"/>
        </w:rPr>
        <w:t xml:space="preserve"> at 5.  Alliance Companies, however, provide no explanation of their methodology for determining a CSF.  In order to determine a CSF, Alliance Companies should look at flowgates that account for 95% (or some other pre-agreed to amount) of required congestion.  Based on their knowledge of the transmission system, Alliance Companies can determine flowgates that may become constrained in the following year.  Any transaction that produces less than 5% flow on a given flowgate should be ignored.  </w:t>
      </w:r>
    </w:p>
    <w:p>
      <w:pPr>
        <w:pStyle w:val="Normal"/>
        <w:widowControl/>
        <w:spacing w:lineRule="auto" w:line="480"/>
        <w:ind w:firstLine="720" w:end="0"/>
        <w:jc w:val="both"/>
        <w:rPr>
          <w:rFonts w:ascii="Times New Roman" w:hAnsi="Times New Roman" w:cs="Times New Roman"/>
          <w:b/>
          <w:i/>
          <w:i/>
        </w:rPr>
      </w:pPr>
      <w:r>
        <w:rPr>
          <w:rFonts w:cs="Times New Roman" w:ascii="Times New Roman" w:hAnsi="Times New Roman"/>
          <w:b/>
          <w:i/>
        </w:rPr>
        <w:t xml:space="preserve"> </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tabs>
          <w:tab w:val="clear" w:pos="720"/>
          <w:tab w:val="left" w:pos="-1440" w:leader="none"/>
        </w:tabs>
        <w:spacing w:lineRule="auto" w:line="480"/>
        <w:ind w:hanging="720" w:start="1440" w:end="0"/>
        <w:jc w:val="both"/>
        <w:rPr>
          <w:rFonts w:ascii="Times New Roman" w:hAnsi="Times New Roman" w:cs="Times New Roman"/>
          <w:i/>
          <w:i/>
        </w:rPr>
      </w:pPr>
      <w:r>
        <w:rPr>
          <w:rFonts w:cs="Times New Roman" w:ascii="Times New Roman" w:hAnsi="Times New Roman"/>
          <w:b/>
          <w:i/>
        </w:rPr>
        <w:t>B.</w:t>
        <w:tab/>
      </w:r>
      <w:r>
        <w:rPr>
          <w:rFonts w:cs="Times New Roman" w:ascii="Times New Roman" w:hAnsi="Times New Roman"/>
          <w:b/>
          <w:i/>
          <w:sz w:val="26"/>
        </w:rPr>
        <w:t>The Proposed RTO Fails in Critical Respects to Create Market Mechanisms Necessary to Complete the Transition to Competitive &amp; Liquid Wholesale Power Markets</w:t>
      </w:r>
    </w:p>
    <w:p>
      <w:pPr>
        <w:pStyle w:val="Normal"/>
        <w:widowControl/>
        <w:spacing w:lineRule="auto" w:line="480"/>
        <w:ind w:firstLine="1440" w:end="0"/>
        <w:jc w:val="both"/>
        <w:rPr>
          <w:rFonts w:ascii="CG Times" w:hAnsi="CG Times" w:cs="CG Times"/>
        </w:rPr>
      </w:pPr>
      <w:r>
        <w:rPr>
          <w:rFonts w:cs="Times New Roman" w:ascii="Times New Roman" w:hAnsi="Times New Roman"/>
          <w:b/>
          <w:i/>
        </w:rPr>
        <w:t>1.  Background</w:t>
      </w:r>
      <w:r>
        <w:rPr>
          <w:rFonts w:cs="Times New Roman" w:ascii="Times New Roman" w:hAnsi="Times New Roman"/>
        </w:rPr>
        <w:t xml:space="preserve"> -  The proposed Alliance RTO must be evaluated, and its compliance with Order No. 2000 must be judged, by how well it would put in place market mechanisms that are essential to achieving both economic and engineering efficiencies and ridding the industry of incumbents' incentive and ability to discriminate and prevent new entry.  With regard to essential market mechanisms, notwithstanding the CMS discussed above, the proposed Alliance RTO is unduly restrictive because the proposal requires day-ahead balanced schedules.  The requirement for day-ahead balanced schedules should be eliminated; it effectively prevents reliance on the real-time energy market, causing that important market to disappear.</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w:t>
      </w:r>
    </w:p>
    <w:p>
      <w:pPr>
        <w:pStyle w:val="Normal"/>
        <w:widowControl/>
        <w:spacing w:lineRule="auto" w:line="480"/>
        <w:ind w:firstLine="1440" w:end="0"/>
        <w:jc w:val="both"/>
        <w:rPr/>
      </w:pPr>
      <w:r>
        <w:rPr>
          <w:rFonts w:cs="CG Times" w:ascii="CG Times" w:hAnsi="CG Times"/>
          <w:b/>
          <w:i/>
        </w:rPr>
        <w:t xml:space="preserve">2.  The requirement to submit balanced day ahead schedules should be eliminated because it is not required operationally and interferes with the development of a real-time energy market </w:t>
      </w:r>
      <w:r>
        <w:rPr>
          <w:rFonts w:cs="CG Times" w:ascii="CG Times" w:hAnsi="CG Times"/>
        </w:rPr>
        <w:t xml:space="preserve"> </w:t>
      </w:r>
      <w:r>
        <w:rPr>
          <w:rFonts w:cs="WP TypographicSymbols" w:ascii="WP TypographicSymbols" w:hAnsi="WP TypographicSymbols"/>
        </w:rPr>
        <w:t>C</w:t>
      </w:r>
      <w:r>
        <w:rPr>
          <w:rFonts w:cs="CG Times" w:ascii="CG Times" w:hAnsi="CG Times"/>
        </w:rPr>
        <w:t xml:space="preserve"> Alliance Companies propose to require balanced schedules for each metered area, defined as a boundary that is utilized for delivery of wholesale transactions, and that may be the control area or it may be a metered boundary within one control area. </w:t>
      </w:r>
      <w:r>
        <w:rPr>
          <w:rFonts w:cs="CG Times" w:ascii="CG Times" w:hAnsi="CG Times"/>
          <w:i/>
        </w:rPr>
        <w:t xml:space="preserve"> See Attachment S,</w:t>
      </w:r>
      <w:r>
        <w:rPr>
          <w:rFonts w:cs="CG Times" w:ascii="CG Times" w:hAnsi="CG Times"/>
        </w:rPr>
        <w:t xml:space="preserve"> Original Sheet 211.  </w:t>
      </w:r>
      <w:r>
        <w:rPr>
          <w:rFonts w:cs="Times New Roman" w:ascii="Times New Roman" w:hAnsi="Times New Roman"/>
        </w:rPr>
        <w:t xml:space="preserve">Indeed, transmission customers would be obliged to submit multiple balanced schedules, one for each sub-region or zone within the Alliance territory.  There is no apparent operational justification for this cumbersome process and it should be ordered eliminated. </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The requirement to submit balanced day ahead schedules prevents generators and load from self-scheduling and effectively mandates that they enter into bilateral contracts.  This strict requirement creates an incentive for participants to submit inaccurate schedules to the RTO and limits the spot market to imbalances instead of creating a real-time energy market.  Not until this balanced schedule requirement is eliminated will the Alliance RTO enjoy a vibrant and liquid real-time energy market.  The Commission should condition acceptance of the filing on Alliance Companies eliminating the balanced schedule requirement.</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pPr>
      <w:r>
        <w:rPr>
          <w:rFonts w:cs="CG Times" w:ascii="CG Times" w:hAnsi="CG Times"/>
        </w:rPr>
        <w:t xml:space="preserve">Most of the wholesale power markets that have developed since the Commission implemented open-access transmission in Order No. 888 have proven to be incomplete in that they do not benefit from both a forward market for energy and transmission with many types and durations of service offerings </w:t>
      </w:r>
      <w:r>
        <w:rPr>
          <w:rFonts w:cs="CG Times" w:ascii="CG Times" w:hAnsi="CG Times"/>
          <w:i/>
        </w:rPr>
        <w:t xml:space="preserve">and </w:t>
      </w:r>
      <w:r>
        <w:rPr>
          <w:rFonts w:cs="Times New Roman" w:ascii="Times New Roman" w:hAnsi="Times New Roman"/>
        </w:rPr>
        <w:t>a liquid real-time energy market.  A real-time energy market is a prerequisite to a forward energy market.  Such a truly liquid real-time energy market is based on true supply and demand fundamentals that will result in a more efficient forward market.</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Forward energy markets are what permit suppliers and consumers to lock in revenue streams and costs, respectively over long-term planning horizons.  This ability is essential to any type of budgetary process, whether it be for investors in merchant power plants, large consumers (such as a pulp and paper mill) or an individual homeowner.</w:t>
      </w:r>
      <w:r>
        <w:rPr>
          <w:rStyle w:val="FootnoteCharacters"/>
          <w:rStyle w:val="FootnoteReference"/>
          <w:rFonts w:cs="Times New Roman" w:ascii="Times New Roman" w:hAnsi="Times New Roman"/>
          <w:vertAlign w:val="superscript"/>
        </w:rPr>
        <w:footnoteReference w:id="5"/>
      </w:r>
      <w:r>
        <w:rPr>
          <w:rFonts w:cs="Times New Roman" w:ascii="Times New Roman" w:hAnsi="Times New Roman"/>
        </w:rPr>
        <w:t xml:space="preserve">  It is also essential to most forms of project financing.  At the other extreme from long-term forward contracts is the short-term real-time energy market.  It is equally essential because it permits holders of forward contracts to make, on short notice, adjustments to conform their market expectations (built into their forward contractual positions) to actual market realities as they develop.  Without depth (liquidity) and continuous trading, the imbalance market proposed by Alliance Companies is of little to no value because it cannot be relied on to make these adjustments.  Where customers are allowed freely to choose between forward and real-time energy markets (</w:t>
      </w:r>
      <w:r>
        <w:rPr>
          <w:rFonts w:cs="CG Times" w:ascii="CG Times" w:hAnsi="CG Times"/>
          <w:i/>
        </w:rPr>
        <w:t>i.e.</w:t>
      </w:r>
      <w:r>
        <w:rPr>
          <w:rFonts w:cs="CG Times" w:ascii="CG Times" w:hAnsi="CG Times"/>
        </w:rPr>
        <w:t>, choose their own level of acceptable price risk), the forward and real-time markets will function in relative equilibrium, the prices in each moderating the other.</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By confining schedulers to predominantly day-ahead balanced and fully "covered" (by FGR) schedules, Alliance Companies not only reduces the types of transactions that market participants can engage in, but it also ensures that little energy will be available in the real-time market for managing congestion or for increasing energy flow when the system can accommodate it.  Forcing over-dependence on forward markets in this fashion will prevent the Midwest  market from seeking its own equilibrium between forward and real-time selling and buying.  The prices in each of these markets will cease to moderate each other.  For these reasons, the obligation to submit day-ahead balanced schedule should be stricken from the Alliance proposal.</w:t>
      </w:r>
      <w:r>
        <w:rPr>
          <w:rStyle w:val="FootnoteCharacters"/>
          <w:rStyle w:val="FootnoteReference"/>
          <w:rFonts w:cs="Times New Roman" w:ascii="Times New Roman" w:hAnsi="Times New Roman"/>
          <w:vertAlign w:val="superscript"/>
        </w:rPr>
        <w:footnoteReference w:id="6"/>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CG Times" w:ascii="CG Times" w:hAnsi="CG Times"/>
        </w:rPr>
        <w:t xml:space="preserve">Moreover, the discriminatory features contained in the balanced schedule requirement should be eliminated.   Alliance RTO imposes the balanced schedule requirement on all transmission customers, but then provides load serving entities ("LSEs") an opportunity to reschedule if they have not scheduled adequate load.  </w:t>
      </w:r>
      <w:r>
        <w:rPr>
          <w:rFonts w:cs="CG Times" w:ascii="CG Times" w:hAnsi="CG Times"/>
          <w:i/>
        </w:rPr>
        <w:t>See January 16 Filing, Attachment G</w:t>
      </w:r>
      <w:r>
        <w:rPr>
          <w:rFonts w:cs="CG Times" w:ascii="CG Times" w:hAnsi="CG Times"/>
        </w:rPr>
        <w:t xml:space="preserve"> at 8.  This additional flexibility provided only to LSE's is discriminatory and unnecessary because all transmission customers should be allowed to submit unbalanced schedules and change them thereafter, up to twenty minutes prior the hour before delivery.  CITE The Commission should direct Alliance Companies to modify this requirement to eliminate the LSE preference.</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If the day-ahead balanced schedule requirement is eliminated, the Alliance RTO proposal would then allow the implementation of a vibrant and liquid real-time energy market.  The Commission, therefore, should condition acceptance of the January 16 filing on Alliance Companies eliminating the balanced schedule requirement.  </w:t>
      </w:r>
    </w:p>
    <w:p>
      <w:pPr>
        <w:pStyle w:val="Normal"/>
        <w:widowControl/>
        <w:tabs>
          <w:tab w:val="clear" w:pos="720"/>
          <w:tab w:val="left" w:pos="-1440" w:leader="none"/>
        </w:tabs>
        <w:ind w:hanging="720" w:start="1440" w:end="0"/>
        <w:jc w:val="both"/>
        <w:rPr>
          <w:rFonts w:ascii="Times New Roman" w:hAnsi="Times New Roman" w:cs="Times New Roman"/>
          <w:b/>
          <w:i/>
          <w:i/>
        </w:rPr>
      </w:pPr>
      <w:r>
        <w:rPr>
          <w:rFonts w:cs="Times New Roman" w:ascii="Times New Roman" w:hAnsi="Times New Roman"/>
          <w:b/>
          <w:i/>
        </w:rPr>
        <w:t>C.</w:t>
        <w:tab/>
        <w:t>Existing Control Areas within the Region Must Cede to the RTO Functions that Affect Commercial Interests</w:t>
      </w:r>
    </w:p>
    <w:p>
      <w:pPr>
        <w:pStyle w:val="Normal"/>
        <w:widowControl/>
        <w:jc w:val="both"/>
        <w:rPr>
          <w:rFonts w:ascii="Times New Roman" w:hAnsi="Times New Roman" w:cs="Times New Roman"/>
          <w:b/>
          <w:i/>
          <w:i/>
        </w:rPr>
      </w:pPr>
      <w:r>
        <w:rPr>
          <w:rFonts w:cs="Times New Roman" w:ascii="Times New Roman" w:hAnsi="Times New Roman"/>
          <w:b/>
          <w:i/>
        </w:rPr>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In its protest to Alliance Companies' September 15 compliance filing, EPMI explained that Alliance Companies fail to transfer responsibility for and control of transmission reservation and scheduling from control area operators to the RTO and that retention of these functions at the control area level results in an unduly discriminatory system in which generation affiliated with the control area enjoys reservation and scheduling flexibility that is denied to competing generators and market participants.  </w:t>
      </w:r>
      <w:r>
        <w:rPr>
          <w:rFonts w:cs="Times New Roman" w:ascii="Times New Roman" w:hAnsi="Times New Roman"/>
          <w:i/>
        </w:rPr>
        <w:t xml:space="preserve">See EPMI Protest </w:t>
      </w:r>
      <w:r>
        <w:rPr>
          <w:rFonts w:cs="Times New Roman" w:ascii="Times New Roman" w:hAnsi="Times New Roman"/>
        </w:rPr>
        <w:t xml:space="preserve">at 3, 10-13.  This remains a serious problem anchored in the Alliance Companies retention of existing control areas with their historical functions and authorities intact.  These concerns stem from the fact that Alliance Companies have not consolidated into a single control area.  Despite the Commission's acceptance of this in the January 24 order, it did reiterate that Alliance Companies committed "to evaluate the consolidation of control areas within 18 months of commencement of service and to report such findings to the Commission" was </w:t>
      </w:r>
      <w:r>
        <w:rPr>
          <w:rFonts w:cs="CG Times" w:ascii="CG Times" w:hAnsi="CG Times"/>
        </w:rPr>
        <w:t xml:space="preserve">a good starting point for the eventual consolidation of control areas," </w:t>
      </w:r>
      <w:r>
        <w:rPr>
          <w:rFonts w:cs="Times New Roman" w:ascii="Times New Roman" w:hAnsi="Times New Roman"/>
        </w:rPr>
        <w:t xml:space="preserve">and appeared to indicate that the movement toward a single control area would be beneficial.  </w:t>
      </w:r>
      <w:r>
        <w:rPr>
          <w:rFonts w:cs="Times New Roman" w:ascii="Times New Roman" w:hAnsi="Times New Roman"/>
          <w:i/>
        </w:rPr>
        <w:t>January 24 order</w:t>
      </w:r>
      <w:r>
        <w:rPr>
          <w:rFonts w:cs="Times New Roman" w:ascii="Times New Roman" w:hAnsi="Times New Roman"/>
        </w:rPr>
        <w:t xml:space="preserve">, mimeo at 24; </w:t>
      </w:r>
      <w:r>
        <w:rPr>
          <w:rFonts w:cs="CG Times" w:ascii="CG Times" w:hAnsi="CG Times"/>
          <w:i/>
        </w:rPr>
        <w:t>Alliance Companies</w:t>
      </w:r>
      <w:r>
        <w:rPr>
          <w:rFonts w:cs="CG Times" w:ascii="CG Times" w:hAnsi="CG Times"/>
        </w:rPr>
        <w:t>,</w:t>
      </w:r>
      <w:r>
        <w:rPr>
          <w:rFonts w:cs="CG Times" w:ascii="CG Times" w:hAnsi="CG Times"/>
          <w:i/>
        </w:rPr>
        <w:t xml:space="preserve"> </w:t>
      </w:r>
      <w:r>
        <w:rPr>
          <w:rFonts w:cs="CG Times" w:ascii="CG Times" w:hAnsi="CG Times"/>
        </w:rPr>
        <w:t xml:space="preserve">89 F.E.R.C. </w:t>
      </w:r>
      <w:r>
        <w:rPr>
          <w:rFonts w:cs="WP TypographicSymbols" w:ascii="WP TypographicSymbols" w:hAnsi="WP TypographicSymbols"/>
        </w:rPr>
        <w:t>&amp;</w:t>
      </w:r>
      <w:r>
        <w:rPr>
          <w:rFonts w:cs="CG Times" w:ascii="CG Times" w:hAnsi="CG Times"/>
        </w:rPr>
        <w:t xml:space="preserve"> 61,298 at 61,923 (2000)</w:t>
      </w:r>
      <w:r>
        <w:rPr>
          <w:rFonts w:cs="Times New Roman" w:ascii="Times New Roman" w:hAnsi="Times New Roman"/>
        </w:rPr>
        <w:t xml:space="preserve">.  The Commission, however, should require the consolidation within 18 months and not allow merely the submittal of an </w:t>
      </w:r>
      <w:r>
        <w:rPr>
          <w:rFonts w:cs="WP TypographicSymbols" w:ascii="WP TypographicSymbols" w:hAnsi="WP TypographicSymbols"/>
        </w:rPr>
        <w:t>A</w:t>
      </w:r>
      <w:r>
        <w:rPr>
          <w:rFonts w:cs="Times New Roman" w:ascii="Times New Roman" w:hAnsi="Times New Roman"/>
        </w:rPr>
        <w:t>evaluation.</w:t>
      </w:r>
      <w:r>
        <w:rPr>
          <w:rFonts w:cs="WP TypographicSymbols" w:ascii="WP TypographicSymbols" w:hAnsi="WP TypographicSymbols"/>
        </w:rPr>
        <w:t>@</w:t>
      </w:r>
      <w:r>
        <w:rPr>
          <w:rFonts w:cs="Times New Roman" w:ascii="Times New Roman" w:hAnsi="Times New Roman"/>
        </w:rPr>
        <w:t xml:space="preserve">  Such vague requirements seldom produce a meaningful change.  CITE  </w:t>
      </w:r>
    </w:p>
    <w:p>
      <w:pPr>
        <w:pStyle w:val="Normal"/>
        <w:widowControl/>
        <w:tabs>
          <w:tab w:val="clear" w:pos="720"/>
          <w:tab w:val="left" w:pos="-1440" w:leader="none"/>
        </w:tabs>
        <w:ind w:hanging="720" w:start="1440" w:end="0"/>
        <w:jc w:val="both"/>
        <w:rPr/>
      </w:pPr>
      <w:r>
        <w:rPr>
          <w:rFonts w:cs="Times New Roman" w:ascii="Times New Roman" w:hAnsi="Times New Roman"/>
          <w:b/>
          <w:i/>
        </w:rPr>
        <w:t>D.</w:t>
      </w:r>
      <w:r>
        <w:rPr>
          <w:rFonts w:cs="Times New Roman" w:ascii="Times New Roman" w:hAnsi="Times New Roman"/>
          <w:b/>
        </w:rPr>
        <w:tab/>
      </w:r>
      <w:r>
        <w:rPr>
          <w:rFonts w:cs="Times New Roman" w:ascii="Times New Roman" w:hAnsi="Times New Roman"/>
          <w:b/>
          <w:i/>
        </w:rPr>
        <w:t>The Proposed RTO Must Establish Internal Trading Hubs after the Nodal LMP Model is Created</w:t>
      </w:r>
    </w:p>
    <w:p>
      <w:pPr>
        <w:pStyle w:val="Normal"/>
        <w:widowControl/>
        <w:jc w:val="both"/>
        <w:rPr>
          <w:rFonts w:ascii="Times New Roman" w:hAnsi="Times New Roman" w:cs="Times New Roman"/>
          <w:b/>
          <w:i/>
          <w:i/>
        </w:rPr>
      </w:pPr>
      <w:r>
        <w:rPr>
          <w:rFonts w:cs="Times New Roman" w:ascii="Times New Roman" w:hAnsi="Times New Roman"/>
          <w:b/>
          <w:i/>
        </w:rPr>
      </w:r>
    </w:p>
    <w:p>
      <w:pPr>
        <w:pStyle w:val="Normal"/>
        <w:widowControl/>
        <w:spacing w:lineRule="auto" w:line="480"/>
        <w:ind w:firstLine="720" w:end="0"/>
        <w:jc w:val="both"/>
        <w:rPr/>
      </w:pPr>
      <w:r>
        <w:rPr>
          <w:rFonts w:cs="Times New Roman" w:ascii="Times New Roman" w:hAnsi="Times New Roman"/>
        </w:rPr>
        <w:t>The market for bulk power today in the Midwest has no recognized, aggregated price points for trading.  Such aggregated points or "hubs" are essential to the market liquidity, but they are absent from the Midwest region and the proposed Alliance RTO.  As the Commission knows, hubs have become an essential characteristic of today's competitive natural gas trade, just as they are essential to the trading of innumerable other commodities.</w:t>
      </w:r>
      <w:r>
        <w:rPr>
          <w:rStyle w:val="FootnoteCharacters"/>
          <w:rStyle w:val="FootnoteReference"/>
          <w:rFonts w:cs="Times New Roman" w:ascii="Times New Roman" w:hAnsi="Times New Roman"/>
          <w:vertAlign w:val="superscript"/>
        </w:rPr>
        <w:footnoteReference w:id="7"/>
      </w:r>
      <w:r>
        <w:rPr>
          <w:rFonts w:cs="Times New Roman" w:ascii="Times New Roman" w:hAnsi="Times New Roman"/>
        </w:rPr>
        <w:t xml:space="preserve"> </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Proponents of the Alliance RTO, working together with the Midwest ISO, need to perform the necessary evaluations and designate appropriate hubs for trading bulk power.  PJM has already gone through this exercise in order to establish trading hubs </w:t>
      </w:r>
      <w:r>
        <w:rPr>
          <w:rFonts w:cs="WP TypographicSymbols" w:ascii="WP TypographicSymbols" w:hAnsi="WP TypographicSymbols"/>
        </w:rPr>
        <w:t>C</w:t>
      </w:r>
      <w:r>
        <w:rPr>
          <w:rFonts w:cs="Times New Roman" w:ascii="Times New Roman" w:hAnsi="Times New Roman"/>
        </w:rPr>
        <w:t xml:space="preserve"> notably in the western portion of the current PJM system, referred to as the Western Hub.  To the extent that new hubs are created, their location and radius should not be constrained by political boundaries or the boundaries of the 12 proposed Alliance RTO and Midwest ISO;</w:t>
      </w:r>
      <w:r>
        <w:rPr>
          <w:rStyle w:val="FootnoteCharacters"/>
          <w:rStyle w:val="FootnoteReference"/>
          <w:rFonts w:cs="Times New Roman" w:ascii="Times New Roman" w:hAnsi="Times New Roman"/>
          <w:vertAlign w:val="superscript"/>
        </w:rPr>
        <w:footnoteReference w:id="8"/>
      </w:r>
      <w:r>
        <w:rPr>
          <w:rFonts w:cs="Times New Roman" w:ascii="Times New Roman" w:hAnsi="Times New Roman"/>
        </w:rPr>
        <w:t xml:space="preserve"> rather, they should be situated with a view toward ultimately collapsing the two into a single Midwest market.</w:t>
      </w:r>
      <w:r>
        <w:rPr>
          <w:rStyle w:val="FootnoteCharacters"/>
          <w:rStyle w:val="FootnoteReference"/>
          <w:rFonts w:cs="Times New Roman" w:ascii="Times New Roman" w:hAnsi="Times New Roman"/>
          <w:vertAlign w:val="superscript"/>
        </w:rPr>
        <w:footnoteReference w:id="9"/>
      </w:r>
    </w:p>
    <w:p>
      <w:pPr>
        <w:pStyle w:val="Normal"/>
        <w:widowControl/>
        <w:tabs>
          <w:tab w:val="clear" w:pos="720"/>
          <w:tab w:val="left" w:pos="-1440" w:leader="none"/>
        </w:tabs>
        <w:spacing w:lineRule="auto" w:line="480"/>
        <w:ind w:hanging="720" w:start="1440" w:end="0"/>
        <w:jc w:val="both"/>
        <w:rPr/>
      </w:pPr>
      <w:r>
        <w:rPr>
          <w:rFonts w:cs="Times New Roman" w:ascii="Times New Roman" w:hAnsi="Times New Roman"/>
          <w:b/>
          <w:i/>
        </w:rPr>
        <w:t>E.</w:t>
        <w:tab/>
        <w:t>Alliance Companies Still Have Not Shown that Its Scope and Configuration Achieve the RTO Objectives of Internalizing Parallel Path Flows and Consolidating Patterns of Trading and Arbitrage</w:t>
      </w:r>
      <w:r>
        <w:rPr>
          <w:rFonts w:cs="Times New Roman" w:ascii="Times New Roman" w:hAnsi="Times New Roman"/>
        </w:rPr>
        <w:tab/>
      </w:r>
    </w:p>
    <w:p>
      <w:pPr>
        <w:pStyle w:val="Normal"/>
        <w:widowControl/>
        <w:spacing w:lineRule="auto" w:line="480"/>
        <w:ind w:firstLine="720" w:end="0"/>
        <w:jc w:val="both"/>
        <w:rPr/>
      </w:pPr>
      <w:r>
        <w:rPr>
          <w:rFonts w:cs="Times New Roman" w:ascii="Times New Roman" w:hAnsi="Times New Roman"/>
        </w:rPr>
        <w:t>As EPMI has documented in its earlier protests, CITE, the Alliance Companies' scope and configuration is flawed.</w:t>
      </w:r>
      <w:r>
        <w:rPr>
          <w:rStyle w:val="FootnoteCharacters"/>
          <w:rStyle w:val="FootnoteReference"/>
          <w:rFonts w:cs="Times New Roman" w:ascii="Times New Roman" w:hAnsi="Times New Roman"/>
          <w:vertAlign w:val="superscript"/>
        </w:rPr>
        <w:footnoteReference w:id="10"/>
      </w:r>
      <w:r>
        <w:rPr>
          <w:rFonts w:cs="Times New Roman" w:ascii="Times New Roman" w:hAnsi="Times New Roman"/>
        </w:rPr>
        <w:t xml:space="preserve">  The January 16 filing does not change these concerns and its discussion of the scope and configuration still is flawed because it focuses on the false assumption that parallel flows and electrical network interactions are only significant if they cause transmission constraints.  The Alliance Companies further weaken their argument by analyzing only historical flows, and not performing any forward looking analysis of emerging competitive trading patterns.  </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In his affidavit in the instant filing, David Patton suggests that "network interactions with neighboring control areas are extremely limited,"  </w:t>
      </w:r>
      <w:r>
        <w:rPr>
          <w:rFonts w:cs="Times New Roman" w:ascii="Times New Roman" w:hAnsi="Times New Roman"/>
          <w:i/>
        </w:rPr>
        <w:t>Patton Affidavit</w:t>
      </w:r>
      <w:r>
        <w:rPr>
          <w:rFonts w:cs="Times New Roman" w:ascii="Times New Roman" w:hAnsi="Times New Roman"/>
        </w:rPr>
        <w:t xml:space="preserve"> at 29, simply because power flows from Alliance Companies appear not to cause frequent </w:t>
      </w:r>
      <w:r>
        <w:rPr>
          <w:rFonts w:cs="Times New Roman" w:ascii="Times New Roman" w:hAnsi="Times New Roman"/>
          <w:i/>
        </w:rPr>
        <w:t>binding</w:t>
      </w:r>
      <w:r>
        <w:rPr>
          <w:rFonts w:cs="Times New Roman" w:ascii="Times New Roman" w:hAnsi="Times New Roman"/>
        </w:rPr>
        <w:t xml:space="preserve"> transmission constraints.  This assertion is unfounded.  Limiting an analysis of parallel flows strictly to those that cause historical constraints, as the Alliance companies persistently have done, harms reliable system operation, undermines ATC calculation, and misrepresents system expansion needs.  In contrast, power systems are understood to be interdependent whenever transfers intended for one system affect facilities in a different system.  An operator needs an accurate measure of the power flows on all facilities, in order to address redispatch needs as a result of an unexpected system event such as a generator failure, line or transformer outage, or sudden change in demand.  Accurate knowledge of existing and expected power flows also is vital for calculating available transfer capability, which is fundamental to the development of competitive markets. Finally, an RTO must have full information on the use of its transmission facilities by all transmission customers (including those technically reserving transmission through a neighboring transmission provider) in order to plan and expand its system in response to the changing demands of the evolving markets.  In limiting their parallel flow analysis to information gained from historical reliability studies, the Alliance Companies miss the fundamental purpose of designing regional transmission organizations, which is to promote new markets, new trading partners and new uses of the transmission system.  The parallel flow analysis offered by the Alliance Companies is flawed both because it ignores the relevant parallel flows that are not internalized by the Alliance RTO, and also because it neglects to include a forward looking analysis that accounts for the evolving needs of the electricity markets. </w:t>
      </w:r>
    </w:p>
    <w:p>
      <w:pPr>
        <w:pStyle w:val="Normal"/>
        <w:widowControl/>
        <w:spacing w:lineRule="auto" w:line="480"/>
        <w:ind w:firstLine="720" w:end="0"/>
        <w:jc w:val="both"/>
        <w:rPr/>
      </w:pPr>
      <w:r>
        <w:rPr>
          <w:rFonts w:cs="Times New Roman" w:ascii="Times New Roman" w:hAnsi="Times New Roman"/>
        </w:rPr>
        <w:t xml:space="preserve">EPMI, however, recognizes that a settlement reached in </w:t>
      </w:r>
      <w:r>
        <w:rPr>
          <w:rFonts w:cs="Times New Roman" w:ascii="Times New Roman" w:hAnsi="Times New Roman"/>
          <w:i/>
        </w:rPr>
        <w:t>Illinois Power Co.</w:t>
      </w:r>
      <w:r>
        <w:rPr>
          <w:rFonts w:cs="Times New Roman" w:ascii="Times New Roman" w:hAnsi="Times New Roman"/>
        </w:rPr>
        <w:t xml:space="preserve">, Docket Nos. ER01-123-000, </w:t>
      </w:r>
      <w:r>
        <w:rPr>
          <w:rFonts w:cs="Times New Roman" w:ascii="Times New Roman" w:hAnsi="Times New Roman"/>
          <w:i/>
        </w:rPr>
        <w:t>et al.</w:t>
      </w:r>
      <w:r>
        <w:rPr>
          <w:rFonts w:cs="Times New Roman" w:ascii="Times New Roman" w:hAnsi="Times New Roman"/>
        </w:rPr>
        <w:t xml:space="preserve">, has the potential to consolidate the operations of the Alliance RTO with the Midwest Independent System Operator.  If, pursuant to the settlement, they are required to jointly manage parallel path flows, congestion management, and other operations, this union may resolve many of EPMI's concerns regarding the scope and configuration of the Alliance RTO. </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jc w:val="center"/>
        <w:rPr>
          <w:rFonts w:ascii="Times New Roman" w:hAnsi="Times New Roman" w:cs="Times New Roman"/>
          <w:b/>
          <w:sz w:val="26"/>
        </w:rPr>
      </w:pPr>
      <w:r>
        <w:rPr>
          <w:rFonts w:cs="Times New Roman" w:ascii="Times New Roman" w:hAnsi="Times New Roman"/>
          <w:b/>
          <w:sz w:val="26"/>
        </w:rPr>
        <w:t>IV.</w:t>
      </w:r>
    </w:p>
    <w:p>
      <w:pPr>
        <w:pStyle w:val="Normal"/>
        <w:widowControl/>
        <w:jc w:val="center"/>
        <w:rPr>
          <w:rFonts w:ascii="Times New Roman" w:hAnsi="Times New Roman" w:cs="Times New Roman"/>
          <w:b/>
          <w:sz w:val="26"/>
        </w:rPr>
      </w:pPr>
      <w:r>
        <w:rPr>
          <w:rFonts w:cs="Times New Roman" w:ascii="Times New Roman" w:hAnsi="Times New Roman"/>
          <w:b/>
          <w:sz w:val="26"/>
        </w:rPr>
        <w:t>CONCLUSION</w:t>
      </w:r>
    </w:p>
    <w:p>
      <w:pPr>
        <w:pStyle w:val="Normal"/>
        <w:widowControl/>
        <w:jc w:val="center"/>
        <w:rPr>
          <w:rFonts w:ascii="Times New Roman" w:hAnsi="Times New Roman" w:cs="Times New Roman"/>
          <w:b/>
          <w:sz w:val="26"/>
        </w:rPr>
      </w:pPr>
      <w:r>
        <w:rPr>
          <w:rFonts w:cs="Times New Roman" w:ascii="Times New Roman" w:hAnsi="Times New Roman"/>
          <w:b/>
          <w:sz w:val="26"/>
        </w:rPr>
      </w:r>
    </w:p>
    <w:p>
      <w:pPr>
        <w:pStyle w:val="Normal"/>
        <w:widowControl/>
        <w:spacing w:lineRule="auto" w:line="480"/>
        <w:ind w:firstLine="720" w:end="0"/>
        <w:jc w:val="both"/>
        <w:rPr/>
      </w:pPr>
      <w:r>
        <w:rPr>
          <w:rFonts w:cs="Times New Roman" w:ascii="Times New Roman" w:hAnsi="Times New Roman"/>
          <w:b/>
        </w:rPr>
        <w:t>WHEREFORE,</w:t>
      </w:r>
      <w:r>
        <w:rPr>
          <w:rFonts w:cs="Times New Roman" w:ascii="Times New Roman" w:hAnsi="Times New Roman"/>
        </w:rPr>
        <w:t xml:space="preserve"> EPMI moves the Commission to grant its protest.</w:t>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Respectfully submitted,</w:t>
      </w:r>
    </w:p>
    <w:p>
      <w:pPr>
        <w:pStyle w:val="Normal"/>
        <w:widowControl/>
        <w:ind w:firstLine="4320" w:end="0"/>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________________________________</w:t>
        <w:tab/>
      </w:r>
    </w:p>
    <w:p>
      <w:pPr>
        <w:pStyle w:val="Normal"/>
        <w:widowControl/>
        <w:ind w:firstLine="4320" w:end="0"/>
        <w:jc w:val="both"/>
        <w:rPr>
          <w:rFonts w:ascii="Times New Roman" w:hAnsi="Times New Roman" w:cs="Times New Roman"/>
        </w:rPr>
      </w:pPr>
      <w:r>
        <w:rPr>
          <w:rFonts w:cs="Times New Roman" w:ascii="Times New Roman" w:hAnsi="Times New Roman"/>
        </w:rPr>
        <w:t>Jeffrey D. Watkiss</w:t>
      </w:r>
    </w:p>
    <w:p>
      <w:pPr>
        <w:pStyle w:val="Normal"/>
        <w:widowControl/>
        <w:ind w:firstLine="4320" w:end="0"/>
        <w:jc w:val="both"/>
        <w:rPr>
          <w:rFonts w:ascii="Times New Roman" w:hAnsi="Times New Roman" w:cs="Times New Roman"/>
        </w:rPr>
      </w:pPr>
      <w:r>
        <w:rPr>
          <w:rFonts w:cs="Times New Roman" w:ascii="Times New Roman" w:hAnsi="Times New Roman"/>
        </w:rPr>
        <w:t>Andrea M. Settanni</w:t>
      </w:r>
    </w:p>
    <w:p>
      <w:pPr>
        <w:pStyle w:val="Normal"/>
        <w:widowControl/>
        <w:ind w:firstLine="4320" w:end="0"/>
        <w:jc w:val="both"/>
        <w:rPr>
          <w:rFonts w:ascii="Times New Roman" w:hAnsi="Times New Roman" w:cs="Times New Roman"/>
        </w:rPr>
      </w:pPr>
      <w:r>
        <w:rPr>
          <w:rFonts w:cs="Times New Roman" w:ascii="Times New Roman" w:hAnsi="Times New Roman"/>
        </w:rPr>
        <w:t>Bracewell &amp; Patterson, L.L.P.</w:t>
      </w:r>
    </w:p>
    <w:p>
      <w:pPr>
        <w:pStyle w:val="Normal"/>
        <w:widowControl/>
        <w:ind w:firstLine="4320" w:end="0"/>
        <w:jc w:val="both"/>
        <w:rPr>
          <w:rFonts w:ascii="Times New Roman" w:hAnsi="Times New Roman" w:cs="Times New Roman"/>
        </w:rPr>
      </w:pPr>
      <w:r>
        <w:rPr>
          <w:rFonts w:cs="Times New Roman" w:ascii="Times New Roman" w:hAnsi="Times New Roman"/>
        </w:rPr>
        <w:t>2000 K Street, N.W.</w:t>
      </w:r>
    </w:p>
    <w:p>
      <w:pPr>
        <w:pStyle w:val="Normal"/>
        <w:widowControl/>
        <w:ind w:firstLine="4320" w:end="0"/>
        <w:jc w:val="both"/>
        <w:rPr>
          <w:rFonts w:ascii="Times New Roman" w:hAnsi="Times New Roman" w:cs="Times New Roman"/>
        </w:rPr>
      </w:pPr>
      <w:r>
        <w:rPr>
          <w:rFonts w:cs="Times New Roman" w:ascii="Times New Roman" w:hAnsi="Times New Roman"/>
        </w:rPr>
        <w:t>Suite 500</w:t>
      </w:r>
    </w:p>
    <w:p>
      <w:pPr>
        <w:pStyle w:val="Normal"/>
        <w:widowControl/>
        <w:ind w:firstLine="4320" w:end="0"/>
        <w:jc w:val="both"/>
        <w:rPr>
          <w:rFonts w:ascii="Times New Roman" w:hAnsi="Times New Roman" w:cs="Times New Roman"/>
        </w:rPr>
      </w:pPr>
      <w:r>
        <w:rPr>
          <w:rFonts w:cs="Times New Roman" w:ascii="Times New Roman" w:hAnsi="Times New Roman"/>
        </w:rPr>
        <w:t>Washington, DC   20006-1872</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Attorneys for Enron Power Marketing, Inc.</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jc w:val="both"/>
        <w:rPr>
          <w:rFonts w:ascii="Times New Roman" w:hAnsi="Times New Roman" w:cs="Times New Roman"/>
        </w:rPr>
      </w:pPr>
      <w:r>
        <w:rPr>
          <w:rFonts w:cs="Times New Roman" w:ascii="Times New Roman" w:hAnsi="Times New Roman"/>
        </w:rPr>
        <w:t>March 12, 2001</w:t>
      </w:r>
    </w:p>
    <w:p>
      <w:pPr>
        <w:sectPr>
          <w:footnotePr>
            <w:numFmt w:val="decimal"/>
          </w:footnotePr>
          <w:type w:val="continuous"/>
          <w:pgSz w:w="12240" w:h="15840"/>
          <w:pgMar w:left="1440" w:right="1350" w:gutter="0" w:header="1440" w:top="1496" w:footer="0" w:bottom="1440"/>
          <w:formProt w:val="false"/>
          <w:textDirection w:val="lrTb"/>
          <w:docGrid w:type="default" w:linePitch="360" w:charSpace="0"/>
        </w:sectPr>
      </w:pPr>
    </w:p>
    <w:p>
      <w:pPr>
        <w:pStyle w:val="Normal"/>
        <w:widowControl/>
        <w:tabs>
          <w:tab w:val="clear" w:pos="720"/>
          <w:tab w:val="center" w:pos="4725" w:leader="none"/>
        </w:tabs>
        <w:jc w:val="both"/>
        <w:rPr/>
      </w:pPr>
      <w:r>
        <w:rPr>
          <w:rFonts w:cs="Times New Roman" w:ascii="Times New Roman" w:hAnsi="Times New Roman"/>
        </w:rPr>
        <w:tab/>
      </w:r>
      <w:r>
        <w:rPr>
          <w:rFonts w:cs="Times New Roman" w:ascii="Times New Roman" w:hAnsi="Times New Roman"/>
          <w:b/>
          <w:sz w:val="28"/>
        </w:rPr>
        <w:t>UNITED STATES OF AMERICA</w:t>
      </w:r>
    </w:p>
    <w:p>
      <w:pPr>
        <w:pStyle w:val="Normal"/>
        <w:widowControl/>
        <w:tabs>
          <w:tab w:val="clear" w:pos="720"/>
          <w:tab w:val="center" w:pos="4725" w:leader="none"/>
        </w:tabs>
        <w:jc w:val="both"/>
        <w:rPr>
          <w:rFonts w:ascii="Times New Roman" w:hAnsi="Times New Roman" w:cs="Times New Roman"/>
          <w:b/>
          <w:sz w:val="28"/>
        </w:rPr>
      </w:pPr>
      <w:r>
        <w:rPr>
          <w:rFonts w:cs="Times New Roman" w:ascii="Times New Roman" w:hAnsi="Times New Roman"/>
          <w:b/>
          <w:sz w:val="28"/>
        </w:rPr>
        <w:tab/>
        <w:t>BEFORE THE</w:t>
      </w:r>
    </w:p>
    <w:p>
      <w:pPr>
        <w:pStyle w:val="Normal"/>
        <w:widowControl/>
        <w:tabs>
          <w:tab w:val="clear" w:pos="720"/>
          <w:tab w:val="center" w:pos="4725" w:leader="none"/>
        </w:tabs>
        <w:jc w:val="both"/>
        <w:rPr>
          <w:rFonts w:ascii="Times New Roman" w:hAnsi="Times New Roman" w:cs="Times New Roman"/>
        </w:rPr>
      </w:pPr>
      <w:r>
        <w:rPr>
          <w:rFonts w:cs="Times New Roman" w:ascii="Times New Roman" w:hAnsi="Times New Roman"/>
          <w:b/>
          <w:sz w:val="28"/>
        </w:rPr>
        <w:tab/>
        <w:t>FEDERAL ENERGY REGULATORY COMMISSION</w:t>
      </w:r>
    </w:p>
    <w:p>
      <w:pPr>
        <w:pStyle w:val="Normal"/>
        <w:widowControl/>
        <w:jc w:val="both"/>
        <w:rPr>
          <w:rFonts w:ascii="Times New Roman" w:hAnsi="Times New Roman" w:cs="Times New Roman"/>
        </w:rPr>
      </w:pPr>
      <w:r>
        <w:rPr>
          <w:rFonts w:cs="Times New Roman" w:ascii="Times New Roman" w:hAnsi="Times New Roman"/>
        </w:rPr>
        <w:t>__________________________________________</w:t>
      </w:r>
    </w:p>
    <w:p>
      <w:pPr>
        <w:pStyle w:val="Normal"/>
        <w:widowControl/>
        <w:ind w:firstLine="5040" w:end="0"/>
        <w:jc w:val="both"/>
        <w:rPr>
          <w:rFonts w:ascii="Times New Roman" w:hAnsi="Times New Roman" w:cs="Times New Roman"/>
        </w:rPr>
      </w:pPr>
      <w:r>
        <w:rPr>
          <w:rFonts w:cs="Times New Roman" w:ascii="Times New Roman" w:hAnsi="Times New Roman"/>
        </w:rPr>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Ameren Corporation</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Union Electric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Central Illinois Public Service Company</w:t>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American Electric Power Service Corporation</w:t>
        <w:tab/>
        <w:t>)</w:t>
      </w:r>
    </w:p>
    <w:p>
      <w:pPr>
        <w:pStyle w:val="Normal"/>
        <w:widowControl/>
        <w:tabs>
          <w:tab w:val="clear" w:pos="720"/>
          <w:tab w:val="left" w:pos="-1440" w:leader="none"/>
        </w:tabs>
        <w:ind w:hanging="6480" w:start="648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tab/>
        <w:tab/>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Appalachian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Columbus Southern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Indiana Michigan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Kentucky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Kingsport Power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Ohio Power Company</w:t>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Wheeling Power Company</w:t>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Consumers Energy Company</w:t>
        <w:tab/>
        <w:tab/>
        <w:tab/>
        <w:tab/>
        <w:t>)</w:t>
        <w:tab/>
        <w:tab/>
        <w:tab/>
        <w:tab/>
        <w:tab/>
      </w:r>
    </w:p>
    <w:p>
      <w:pPr>
        <w:pStyle w:val="Normal"/>
        <w:widowControl/>
        <w:tabs>
          <w:tab w:val="clear" w:pos="720"/>
          <w:tab w:val="left" w:pos="-1440" w:leader="none"/>
        </w:tabs>
        <w:ind w:hanging="5760" w:start="5760" w:end="0"/>
        <w:jc w:val="both"/>
        <w:rPr>
          <w:rFonts w:ascii="Times New Roman" w:hAnsi="Times New Roman" w:cs="Times New Roman"/>
        </w:rPr>
      </w:pPr>
      <w:r>
        <w:rPr>
          <w:rFonts w:cs="Times New Roman" w:ascii="Times New Roman" w:hAnsi="Times New Roman"/>
        </w:rPr>
        <w:t>Exelon Corporation</w:t>
        <w:tab/>
        <w:tab/>
        <w:tab/>
        <w:tab/>
        <w:tab/>
        <w:t>)</w:t>
        <w:tab/>
        <w:t>Docket No. RT01-88-000</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Commonwealth Edison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Commonwealth Edison Company of</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Indiana</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FirstEnergy Corp.</w:t>
        <w:tab/>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The Cleveland Electric Illuminating</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Company</w:t>
        <w:tab/>
        <w:tab/>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Ohio Edison Company</w:t>
        <w:tab/>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Pennsylvania Power Company</w:t>
        <w:tab/>
        <w:tab/>
        <w:t>)</w:t>
      </w:r>
    </w:p>
    <w:p>
      <w:pPr>
        <w:pStyle w:val="Normal"/>
        <w:widowControl/>
        <w:tabs>
          <w:tab w:val="clear" w:pos="720"/>
          <w:tab w:val="left" w:pos="-1440" w:leader="none"/>
        </w:tabs>
        <w:ind w:hanging="4320" w:start="5040" w:end="0"/>
        <w:jc w:val="both"/>
        <w:rPr>
          <w:rFonts w:ascii="Times New Roman" w:hAnsi="Times New Roman" w:cs="Times New Roman"/>
        </w:rPr>
      </w:pPr>
      <w:r>
        <w:rPr>
          <w:rFonts w:cs="Times New Roman" w:ascii="Times New Roman" w:hAnsi="Times New Roman"/>
        </w:rPr>
        <w:t>The Toledo Edison Company</w:t>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Illinois Power Company</w:t>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The Dayton Power and Light Company</w:t>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Detroit Edison Company</w:t>
        <w:tab/>
        <w:tab/>
        <w:tab/>
        <w:tab/>
        <w:t>)</w:t>
      </w:r>
    </w:p>
    <w:p>
      <w:pPr>
        <w:pStyle w:val="Normal"/>
        <w:widowControl/>
        <w:tabs>
          <w:tab w:val="clear" w:pos="720"/>
          <w:tab w:val="left" w:pos="-1440" w:leader="none"/>
        </w:tabs>
        <w:ind w:hanging="5040" w:start="5040" w:end="0"/>
        <w:jc w:val="both"/>
        <w:rPr>
          <w:rFonts w:ascii="Times New Roman" w:hAnsi="Times New Roman" w:cs="Times New Roman"/>
        </w:rPr>
      </w:pPr>
      <w:r>
        <w:rPr>
          <w:rFonts w:cs="Times New Roman" w:ascii="Times New Roman" w:hAnsi="Times New Roman"/>
        </w:rPr>
        <w:t>Virginia Electric and Power Company</w:t>
        <w:tab/>
        <w:tab/>
        <w:t>)</w:t>
      </w:r>
    </w:p>
    <w:p>
      <w:pPr>
        <w:pStyle w:val="Normal"/>
        <w:widowControl/>
        <w:jc w:val="both"/>
        <w:rPr>
          <w:rFonts w:ascii="Times New Roman" w:hAnsi="Times New Roman" w:cs="Times New Roman"/>
        </w:rPr>
      </w:pPr>
      <w:r>
        <w:rPr>
          <w:rFonts w:cs="Times New Roman" w:ascii="Times New Roman" w:hAnsi="Times New Roman"/>
        </w:rPr>
        <w:t>__________________________________________)</w:t>
        <w:tab/>
        <w:tab/>
        <w:t xml:space="preserve">       </w:t>
      </w:r>
    </w:p>
    <w:p>
      <w:pPr>
        <w:pStyle w:val="Normal"/>
        <w:widowControl/>
        <w:jc w:val="both"/>
        <w:rPr>
          <w:rFonts w:ascii="Times New Roman" w:hAnsi="Times New Roman" w:cs="Times New Roman"/>
          <w:b/>
        </w:rPr>
      </w:pPr>
      <w:r>
        <w:rPr>
          <w:rFonts w:cs="Times New Roman" w:ascii="Times New Roman" w:hAnsi="Times New Roman"/>
          <w:b/>
        </w:rPr>
      </w:r>
    </w:p>
    <w:p>
      <w:pPr>
        <w:pStyle w:val="Normal"/>
        <w:widowControl/>
        <w:tabs>
          <w:tab w:val="clear" w:pos="720"/>
          <w:tab w:val="center" w:pos="4725" w:leader="none"/>
        </w:tabs>
        <w:jc w:val="both"/>
        <w:rPr>
          <w:rFonts w:ascii="Times New Roman" w:hAnsi="Times New Roman" w:cs="Times New Roman"/>
        </w:rPr>
      </w:pPr>
      <w:r>
        <w:rPr>
          <w:rFonts w:cs="Times New Roman" w:ascii="Times New Roman" w:hAnsi="Times New Roman"/>
          <w:b/>
        </w:rPr>
        <w:tab/>
        <w:t>CERTIFICATE OF SERVICE</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rFonts w:ascii="Times New Roman" w:hAnsi="Times New Roman" w:cs="Times New Roman"/>
        </w:rPr>
      </w:pPr>
      <w:r>
        <w:rPr>
          <w:rFonts w:cs="Times New Roman" w:ascii="Times New Roman" w:hAnsi="Times New Roman"/>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720" w:end="0"/>
        <w:jc w:val="both"/>
        <w:rPr/>
      </w:pPr>
      <w:r>
        <w:rPr>
          <w:rFonts w:cs="Times New Roman" w:ascii="Times New Roman" w:hAnsi="Times New Roman"/>
        </w:rPr>
        <w:t>Dated at Washington, D.C., this 12</w:t>
      </w:r>
      <w:r>
        <w:rPr>
          <w:rFonts w:cs="Times New Roman" w:ascii="Times New Roman" w:hAnsi="Times New Roman"/>
          <w:vertAlign w:val="superscript"/>
        </w:rPr>
        <w:t>th</w:t>
      </w:r>
      <w:r>
        <w:rPr>
          <w:rFonts w:cs="Times New Roman" w:ascii="Times New Roman" w:hAnsi="Times New Roman"/>
        </w:rPr>
        <w:t xml:space="preserve"> day of March 2001.</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____________________________________</w:t>
      </w:r>
    </w:p>
    <w:p>
      <w:pPr>
        <w:pStyle w:val="Normal"/>
        <w:widowControl/>
        <w:ind w:firstLine="5040" w:end="0"/>
        <w:jc w:val="both"/>
        <w:rPr>
          <w:rFonts w:ascii="Times New Roman" w:hAnsi="Times New Roman" w:cs="Times New Roman"/>
        </w:rPr>
      </w:pPr>
      <w:r>
        <w:rPr>
          <w:rFonts w:cs="Times New Roman" w:ascii="Times New Roman" w:hAnsi="Times New Roman"/>
        </w:rPr>
        <w:t>Andrea M. Settanni</w:t>
      </w:r>
    </w:p>
    <w:p>
      <w:pPr>
        <w:pStyle w:val="Normal"/>
        <w:widowControl/>
        <w:jc w:val="both"/>
        <w:rPr>
          <w:rFonts w:ascii="Times New Roman" w:hAnsi="Times New Roman" w:cs="Times New Roman"/>
          <w:sz w:val="18"/>
        </w:rPr>
      </w:pPr>
      <w:r>
        <w:rPr>
          <w:rFonts w:cs="Times New Roman" w:ascii="Times New Roman" w:hAnsi="Times New Roman"/>
          <w:sz w:val="18"/>
        </w:rPr>
        <w:t>138700</w:t>
      </w:r>
    </w:p>
    <w:sectPr>
      <w:headerReference w:type="default" r:id="rId3"/>
      <w:footnotePr>
        <w:numFmt w:val="decimal"/>
      </w:footnotePr>
      <w:type w:val="nextPage"/>
      <w:pgSz w:w="12240" w:h="15840"/>
      <w:pgMar w:left="1440" w:right="1350" w:gutter="0" w:header="1440" w:top="1496" w:footer="0" w:bottom="47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WP TypographicSymbols">
    <w:charset w:val="00" w:characterSet="windows-1252"/>
    <w:family w:val="auto"/>
    <w:pitch w:val="variable"/>
  </w:font>
  <w:font w:name="CG Times">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Times New Roman" w:ascii="Times New Roman" w:hAnsi="Times New Roman"/>
        </w:rPr>
        <w:t>  </w:t>
      </w:r>
      <w:r>
        <w:rPr>
          <w:rFonts w:cs="Times New Roman" w:ascii="Times New Roman" w:hAnsi="Times New Roman"/>
          <w:i/>
          <w:sz w:val="20"/>
        </w:rPr>
        <w:t>Regional Transmission Organizations</w:t>
      </w:r>
      <w:r>
        <w:rPr>
          <w:rFonts w:cs="Times New Roman" w:ascii="Times New Roman" w:hAnsi="Times New Roman"/>
          <w:sz w:val="20"/>
        </w:rPr>
        <w:t xml:space="preserve">, Order No. 2000, [1996 - 2000 Regs. Preambles] III F.E.R.C. Stats. &amp; Regs. </w:t>
      </w:r>
      <w:r>
        <w:rPr>
          <w:rFonts w:cs="WP TypographicSymbols" w:ascii="WP TypographicSymbols" w:hAnsi="WP TypographicSymbols"/>
          <w:sz w:val="20"/>
        </w:rPr>
        <w:t>&amp;</w:t>
      </w:r>
      <w:r>
        <w:rPr>
          <w:rFonts w:cs="Times New Roman" w:ascii="Times New Roman" w:hAnsi="Times New Roman"/>
          <w:sz w:val="20"/>
        </w:rPr>
        <w:t xml:space="preserve"> 31,089 (2000), </w:t>
      </w:r>
      <w:r>
        <w:rPr>
          <w:rFonts w:cs="Times New Roman" w:ascii="Times New Roman" w:hAnsi="Times New Roman"/>
          <w:i/>
          <w:sz w:val="20"/>
        </w:rPr>
        <w:t>order on reh'g</w:t>
      </w:r>
      <w:r>
        <w:rPr>
          <w:rFonts w:cs="Times New Roman" w:ascii="Times New Roman" w:hAnsi="Times New Roman"/>
          <w:sz w:val="20"/>
        </w:rPr>
        <w:t xml:space="preserve">, Order No. 2000-A, III F.E.R.C. Stats. &amp; Regs. </w:t>
      </w:r>
      <w:r>
        <w:rPr>
          <w:rFonts w:cs="WP TypographicSymbols" w:ascii="WP TypographicSymbols" w:hAnsi="WP TypographicSymbols"/>
          <w:sz w:val="20"/>
        </w:rPr>
        <w:t>&amp;</w:t>
      </w:r>
      <w:r>
        <w:rPr>
          <w:rFonts w:cs="Times New Roman" w:ascii="Times New Roman" w:hAnsi="Times New Roman"/>
          <w:sz w:val="20"/>
        </w:rPr>
        <w:t xml:space="preserve"> 31,092 (2000), </w:t>
      </w:r>
      <w:r>
        <w:rPr>
          <w:rFonts w:cs="Times New Roman" w:ascii="Times New Roman" w:hAnsi="Times New Roman"/>
          <w:i/>
          <w:sz w:val="20"/>
        </w:rPr>
        <w:t>appeal docketed sub nom. Public Utility District No. 1 of Snohomish County, Washington v. FERC</w:t>
      </w:r>
      <w:r>
        <w:rPr>
          <w:rFonts w:cs="Times New Roman" w:ascii="Times New Roman" w:hAnsi="Times New Roman"/>
          <w:sz w:val="20"/>
        </w:rPr>
        <w:t xml:space="preserve">, Nos. 00-1174, </w:t>
      </w:r>
      <w:r>
        <w:rPr>
          <w:rFonts w:cs="Times New Roman" w:ascii="Times New Roman" w:hAnsi="Times New Roman"/>
          <w:i/>
          <w:sz w:val="20"/>
        </w:rPr>
        <w:t>et al</w:t>
      </w:r>
      <w:r>
        <w:rPr>
          <w:rFonts w:cs="Times New Roman" w:ascii="Times New Roman" w:hAnsi="Times New Roman"/>
          <w:sz w:val="20"/>
        </w:rPr>
        <w:t>., (D.C. Cir. filed April 24, 2000).</w:t>
      </w:r>
    </w:p>
  </w:footnote>
  <w:footnote w:id="3">
    <w:p>
      <w:pPr>
        <w:pStyle w:val="Normal"/>
        <w:spacing w:before="0" w:after="240"/>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sz w:val="20"/>
        </w:rPr>
        <w:t xml:space="preserve">At the very least, EPMI recognizes, however, that the Commission </w:t>
      </w:r>
      <w:r>
        <w:rPr>
          <w:rFonts w:cs="CG Times" w:ascii="CG Times" w:hAnsi="CG Times"/>
          <w:sz w:val="20"/>
        </w:rPr>
        <w:t xml:space="preserve">in its January 24 order required Alliance Companies to provide support for the operation of the real-time balancing market including support for the settlement window of 5 to 15 minutes.  </w:t>
      </w:r>
      <w:r>
        <w:rPr>
          <w:rFonts w:cs="CG Times" w:ascii="CG Times" w:hAnsi="CG Times"/>
          <w:i/>
          <w:sz w:val="20"/>
        </w:rPr>
        <w:t>January 24 order</w:t>
      </w:r>
      <w:r>
        <w:rPr>
          <w:rFonts w:cs="CG Times" w:ascii="CG Times" w:hAnsi="CG Times"/>
          <w:sz w:val="20"/>
        </w:rPr>
        <w:t xml:space="preserve"> mimeo at 38.  EPMI will reserve judgement on this issue until Alliance Companies make its compliance filing in that proceeding.</w:t>
      </w:r>
    </w:p>
  </w:footnote>
  <w:footnote w:id="4">
    <w:p>
      <w:pPr>
        <w:pStyle w:val="Normal"/>
        <w:spacing w:before="0" w:after="240"/>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sz w:val="20"/>
        </w:rPr>
        <w:t>EPMI's request here for Alliance Companies to provide a true real time energy market does not contain all the details of how that market could be structured.  EPMI looks forward to working with Alliance Companies and the other participants in designing a viable model.</w:t>
      </w:r>
    </w:p>
  </w:footnote>
  <w:footnote w:id="5">
    <w:p>
      <w:pPr>
        <w:pStyle w:val="Normal"/>
        <w:spacing w:before="0" w:after="240"/>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vertAlign w:val="superscript"/>
        </w:rPr>
        <w:t xml:space="preserve"> </w:t>
      </w:r>
      <w:r>
        <w:rPr>
          <w:rFonts w:cs="Times New Roman" w:ascii="Times New Roman" w:hAnsi="Times New Roman"/>
          <w:sz w:val="20"/>
        </w:rPr>
        <w:t>By reason of regulated, fixed retail rates, most homeowners and other small consumers are currently shielded from some of the volatility of short-term markets, even in the absence of appreciable forward contracting.  Indeed, the current energy crisis in California is, in part, the product of a retail and wholesale market structure that denies the California utilities and customers the protections of forward contracting.</w:t>
      </w:r>
    </w:p>
  </w:footnote>
  <w:footnote w:id="6">
    <w:p>
      <w:pPr>
        <w:pStyle w:val="Normal"/>
        <w:spacing w:before="0" w:after="240"/>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sz w:val="20"/>
        </w:rPr>
        <w:t>EPMI's request here for Alliance Companies to provide a true real time energy market does not contain all the details of how that market could be structured.  EPMI looks forward to working with Alliance Companies and the other participants in designing a viable model.</w:t>
      </w:r>
    </w:p>
  </w:footnote>
  <w:footnote w:id="7">
    <w:p>
      <w:pPr>
        <w:pStyle w:val="Normal"/>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i/>
          <w:sz w:val="20"/>
        </w:rPr>
        <w:t>See, e.g.</w:t>
      </w:r>
      <w:r>
        <w:rPr>
          <w:rFonts w:cs="Times New Roman" w:ascii="Times New Roman" w:hAnsi="Times New Roman"/>
          <w:sz w:val="20"/>
        </w:rPr>
        <w:t xml:space="preserve">, </w:t>
      </w:r>
      <w:r>
        <w:rPr>
          <w:rFonts w:cs="Times New Roman" w:ascii="Times New Roman" w:hAnsi="Times New Roman"/>
          <w:i/>
          <w:sz w:val="20"/>
        </w:rPr>
        <w:t>Regulation of Short-Term Natural Gas Transportation Services, and Regulation of Interstate Natural Gas Transportation Services</w:t>
      </w:r>
      <w:r>
        <w:rPr>
          <w:rFonts w:cs="Times New Roman" w:ascii="Times New Roman" w:hAnsi="Times New Roman"/>
          <w:sz w:val="20"/>
        </w:rPr>
        <w:t xml:space="preserve">, Order No. 637, III FERC Stats. &amp; Regs. </w:t>
      </w:r>
      <w:r>
        <w:rPr>
          <w:rFonts w:cs="WP TypographicSymbols" w:ascii="WP TypographicSymbols" w:hAnsi="WP TypographicSymbols"/>
          <w:sz w:val="20"/>
        </w:rPr>
        <w:t>&amp;</w:t>
      </w:r>
      <w:r>
        <w:rPr>
          <w:rFonts w:cs="Times New Roman" w:ascii="Times New Roman" w:hAnsi="Times New Roman"/>
          <w:sz w:val="20"/>
        </w:rPr>
        <w:t xml:space="preserve"> 31,091 at 31,259 (2000) ("growing importance of market centers suggests the need for policy development . . . to foster the development of both upstream and downstream market centers"), </w:t>
      </w:r>
      <w:r>
        <w:rPr>
          <w:rFonts w:cs="Times New Roman" w:ascii="Times New Roman" w:hAnsi="Times New Roman"/>
          <w:i/>
          <w:sz w:val="20"/>
        </w:rPr>
        <w:t>order on reh'g</w:t>
      </w:r>
      <w:r>
        <w:rPr>
          <w:rFonts w:cs="Times New Roman" w:ascii="Times New Roman" w:hAnsi="Times New Roman"/>
          <w:sz w:val="20"/>
        </w:rPr>
        <w:t xml:space="preserve">, Order No. 637-A, III F.E.R.C. Stats. &amp; Regs. </w:t>
      </w:r>
      <w:r>
        <w:rPr>
          <w:rFonts w:cs="WP TypographicSymbols" w:ascii="WP TypographicSymbols" w:hAnsi="WP TypographicSymbols"/>
          <w:sz w:val="20"/>
        </w:rPr>
        <w:t>&amp;</w:t>
      </w:r>
      <w:r>
        <w:rPr>
          <w:rFonts w:cs="Times New Roman" w:ascii="Times New Roman" w:hAnsi="Times New Roman"/>
          <w:sz w:val="20"/>
        </w:rPr>
        <w:t xml:space="preserve"> 31,099 (2000), </w:t>
      </w:r>
      <w:r>
        <w:rPr>
          <w:rFonts w:cs="Times New Roman" w:ascii="Times New Roman" w:hAnsi="Times New Roman"/>
          <w:i/>
          <w:sz w:val="20"/>
        </w:rPr>
        <w:t>reh'g denied</w:t>
      </w:r>
      <w:r>
        <w:rPr>
          <w:rFonts w:cs="Times New Roman" w:ascii="Times New Roman" w:hAnsi="Times New Roman"/>
          <w:sz w:val="20"/>
        </w:rPr>
        <w:t xml:space="preserve">, Order No. 637-B, 92 F.E.R.C. </w:t>
      </w:r>
      <w:r>
        <w:rPr>
          <w:rFonts w:cs="WP TypographicSymbols" w:ascii="WP TypographicSymbols" w:hAnsi="WP TypographicSymbols"/>
          <w:sz w:val="20"/>
        </w:rPr>
        <w:t>&amp;</w:t>
      </w:r>
      <w:r>
        <w:rPr>
          <w:rFonts w:cs="Times New Roman" w:ascii="Times New Roman" w:hAnsi="Times New Roman"/>
          <w:sz w:val="20"/>
        </w:rPr>
        <w:t xml:space="preserve"> 61062 (2000); Stewart Holmes, </w:t>
      </w:r>
      <w:r>
        <w:rPr>
          <w:rFonts w:cs="Times New Roman" w:ascii="Times New Roman" w:hAnsi="Times New Roman"/>
          <w:i/>
          <w:sz w:val="20"/>
        </w:rPr>
        <w:t>The Development of Market Centers and Electronic Trading in Natural Gas Markets</w:t>
      </w:r>
      <w:r>
        <w:rPr>
          <w:rFonts w:cs="Times New Roman" w:ascii="Times New Roman" w:hAnsi="Times New Roman"/>
          <w:sz w:val="20"/>
        </w:rPr>
        <w:t>, FERC Office of Economic Policy (June 1999) (describing the development, proliferation and importance of hubs for trading natural gas) (in relevant part as Attachment A, hereto).</w:t>
      </w:r>
    </w:p>
    <w:p>
      <w:pPr>
        <w:pStyle w:val="Normal"/>
        <w:spacing w:before="0" w:after="240"/>
        <w:ind w:end="90"/>
        <w:jc w:val="both"/>
        <w:rPr>
          <w:rFonts w:ascii="Times New Roman" w:hAnsi="Times New Roman" w:cs="Times New Roman"/>
          <w:sz w:val="20"/>
        </w:rPr>
      </w:pPr>
      <w:r>
        <w:rPr>
          <w:rFonts w:cs="Times New Roman" w:ascii="Times New Roman" w:hAnsi="Times New Roman"/>
          <w:sz w:val="20"/>
        </w:rPr>
      </w:r>
    </w:p>
  </w:footnote>
  <w:footnote w:id="8">
    <w:p>
      <w:pPr>
        <w:pStyle w:val="Normal"/>
        <w:ind w:firstLine="720" w:end="90"/>
        <w:jc w:val="both"/>
        <w:rPr>
          <w:rFonts w:ascii="Times New Roman" w:hAnsi="Times New Roman" w:cs="Times New Roman"/>
          <w:i/>
          <w:i/>
          <w:sz w:val="20"/>
        </w:rPr>
      </w:pPr>
      <w:r>
        <w:rPr>
          <w:rStyle w:val="FootnoteCharacters"/>
        </w:rPr>
        <w:footnoteRef/>
      </w:r>
      <w:r>
        <w:rPr>
          <w:rFonts w:cs="Times New Roman" w:ascii="Times New Roman" w:hAnsi="Times New Roman"/>
        </w:rPr>
        <w:t>  </w:t>
      </w:r>
      <w:r>
        <w:rPr>
          <w:rFonts w:cs="Times New Roman" w:ascii="Times New Roman" w:hAnsi="Times New Roman"/>
          <w:sz w:val="20"/>
        </w:rPr>
        <w:t>The best location for trading hubs are central to areas in which locational prices move together (up or down in the same proportion) and therefore can be aggregated without distorting any single locational price.  The reason why the prices move together, permitting aggregation, is that, within the radius of the hub there are no electrically significant constraints.  Hubs that are thoughtfully located attract considerable liquidity, such as PJM West, the California Oregon Border ("COB"), and the Palo Verde Switchyard.  Hubs that are not well situated will host little or no transactions and will simply stop trading over time.</w:t>
      </w:r>
    </w:p>
    <w:p>
      <w:pPr>
        <w:pStyle w:val="Normal"/>
        <w:spacing w:before="0" w:after="240"/>
        <w:ind w:end="90"/>
        <w:jc w:val="both"/>
        <w:rPr>
          <w:rFonts w:ascii="Times New Roman" w:hAnsi="Times New Roman" w:cs="Times New Roman"/>
          <w:i/>
          <w:i/>
          <w:sz w:val="20"/>
        </w:rPr>
      </w:pPr>
      <w:r>
        <w:rPr>
          <w:rFonts w:cs="Times New Roman" w:ascii="Times New Roman" w:hAnsi="Times New Roman"/>
          <w:i/>
          <w:sz w:val="20"/>
        </w:rPr>
      </w:r>
    </w:p>
  </w:footnote>
  <w:footnote w:id="9">
    <w:p>
      <w:pPr>
        <w:pStyle w:val="Normal"/>
        <w:ind w:firstLine="720" w:end="90"/>
        <w:jc w:val="both"/>
        <w:rPr>
          <w:rFonts w:ascii="Times New Roman" w:hAnsi="Times New Roman" w:cs="Times New Roman"/>
          <w:sz w:val="22"/>
        </w:rPr>
      </w:pPr>
      <w:r>
        <w:rPr>
          <w:rStyle w:val="FootnoteCharacters"/>
        </w:rPr>
        <w:footnoteRef/>
      </w:r>
      <w:r>
        <w:rPr>
          <w:rFonts w:cs="Times New Roman" w:ascii="Times New Roman" w:hAnsi="Times New Roman"/>
        </w:rPr>
        <w:t>  </w:t>
      </w:r>
      <w:r>
        <w:rPr>
          <w:rFonts w:cs="Times New Roman" w:ascii="Times New Roman" w:hAnsi="Times New Roman"/>
          <w:i/>
          <w:sz w:val="20"/>
        </w:rPr>
        <w:t xml:space="preserve">See infra </w:t>
      </w:r>
      <w:r>
        <w:rPr>
          <w:rFonts w:cs="Times New Roman" w:ascii="Times New Roman" w:hAnsi="Times New Roman"/>
          <w:sz w:val="20"/>
        </w:rPr>
        <w:t>Part II.E. discussing current settlement proceeding.</w:t>
      </w:r>
    </w:p>
    <w:p>
      <w:pPr>
        <w:pStyle w:val="Normal"/>
        <w:spacing w:before="0" w:after="240"/>
        <w:ind w:end="90"/>
        <w:jc w:val="both"/>
        <w:rPr>
          <w:rFonts w:ascii="Times New Roman" w:hAnsi="Times New Roman" w:cs="Times New Roman"/>
          <w:sz w:val="22"/>
        </w:rPr>
      </w:pPr>
      <w:r>
        <w:rPr>
          <w:rFonts w:cs="Times New Roman" w:ascii="Times New Roman" w:hAnsi="Times New Roman"/>
          <w:sz w:val="22"/>
        </w:rPr>
      </w:r>
    </w:p>
  </w:footnote>
  <w:footnote w:id="10">
    <w:p>
      <w:pPr>
        <w:pStyle w:val="Normal"/>
        <w:spacing w:before="0" w:after="240"/>
        <w:ind w:firstLine="720" w:end="90"/>
        <w:jc w:val="both"/>
        <w:rPr/>
      </w:pPr>
      <w:r>
        <w:rPr>
          <w:rStyle w:val="FootnoteCharacters"/>
        </w:rPr>
        <w:footnoteRef/>
      </w:r>
      <w:r>
        <w:rPr>
          <w:rFonts w:cs="Times New Roman" w:ascii="Times New Roman" w:hAnsi="Times New Roman"/>
        </w:rPr>
        <w:t>  </w:t>
      </w:r>
      <w:r>
        <w:rPr>
          <w:rFonts w:cs="Times New Roman" w:ascii="Times New Roman" w:hAnsi="Times New Roman"/>
          <w:sz w:val="20"/>
        </w:rPr>
        <w:t>Although the Commission accepted the scope and configuration of Alliance RTO in its January 24 order, EPMI has requested rehearing of that order.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rPr>
    </w:pPr>
    <w:r>
      <w:rPr>
        <w:rFonts w:cs="Times New Roman" w:ascii="Times New Roman" w:hAnsi="Times New Roman"/>
      </w:rPr>
      <w:t>EPMI Protest</w:t>
    </w:r>
  </w:p>
  <w:p>
    <w:pPr>
      <w:pStyle w:val="Normal"/>
      <w:tabs>
        <w:tab w:val="clear" w:pos="720"/>
        <w:tab w:val="right" w:pos="9360" w:leader="none"/>
      </w:tabs>
      <w:jc w:val="both"/>
      <w:rPr>
        <w:rFonts w:ascii="CG Times" w:hAnsi="CG Times" w:cs="CG Times"/>
      </w:rPr>
    </w:pPr>
    <w:r>
      <w:rPr>
        <w:rFonts w:cs="CG Times" w:ascii="CG Times" w:hAnsi="CG Times"/>
      </w:rPr>
      <w:t>Docket No.  RT01-88-000</w:t>
      <w:tab/>
      <w:t xml:space="preserve">Page </w:t>
    </w:r>
    <w:r>
      <w:rPr>
        <w:rFonts w:cs="CG Times" w:ascii="CG Times" w:hAnsi="CG Times"/>
      </w:rPr>
      <w:fldChar w:fldCharType="begin"/>
    </w:r>
    <w:r>
      <w:rPr>
        <w:rFonts w:cs="CG Times" w:ascii="CG Times" w:hAnsi="CG Times"/>
      </w:rPr>
      <w:instrText xml:space="preserve"> PAGE </w:instrText>
    </w:r>
    <w:r>
      <w:rPr>
        <w:rFonts w:cs="CG Times" w:ascii="CG Times" w:hAnsi="CG Times"/>
      </w:rPr>
      <w:fldChar w:fldCharType="separate"/>
    </w:r>
    <w:r>
      <w:rPr>
        <w:rFonts w:cs="CG Times" w:ascii="CG Times" w:hAnsi="CG Times"/>
      </w:rPr>
      <w:t>17</w:t>
    </w:r>
    <w:r>
      <w:rPr>
        <w:rFonts w:cs="CG Times" w:ascii="CG Times" w:hAnsi="CG Times"/>
      </w:rPr>
      <w:fldChar w:fldCharType="end"/>
    </w:r>
  </w:p>
  <w:p>
    <w:pPr>
      <w:pStyle w:val="Normal"/>
      <w:spacing w:lineRule="exact" w:line="19"/>
      <w:jc w:val="both"/>
      <w:rPr>
        <w:rFonts w:ascii="CG Times" w:hAnsi="CG Times" w:cs="CG Times"/>
        <w:lang w:val="en-CA" w:eastAsia="en-CA"/>
      </w:rPr>
    </w:pPr>
    <w:r>
      <w:rPr>
        <w:rFonts w:cs="CG Times" w:ascii="CG Times" w:hAnsi="CG Times"/>
        <w:lang w:val="en-CA" w:eastAsia="en-CA"/>
      </w:rPr>
      <mc:AlternateContent>
        <mc:Choice Requires="wps">
          <w:drawing>
            <wp:anchor behindDoc="1" distT="0" distB="0" distL="114935" distR="114935" simplePos="0" locked="0" layoutInCell="0" allowOverlap="1" relativeHeight="16">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240"/>
      <w:rPr>
        <w:rFonts w:ascii="CG Times" w:hAnsi="CG Times" w:cs="CG Times"/>
      </w:rPr>
    </w:pPr>
    <w:r>
      <w:rPr>
        <w:rFonts w:cs="CG Times" w:ascii="CG Times" w:hAnsi="CG Tim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Courier New" w:hAnsi="Courier;Courier New" w:eastAsia="Times New Roman" w:cs="Courier;Courier New"/>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2001-03-08T19:12:00Z</dcterms:created>
  <dc:creator>Bracewell &amp; Patterson, L.L.P.</dc:creator>
  <dc:description/>
  <dc:language>en-CA</dc:language>
  <cp:lastModifiedBy>Bracewell &amp; Patterson, L.L.P.</cp:lastModifiedBy>
  <dcterms:modified xsi:type="dcterms:W3CDTF">2001-03-08T19:12:00Z</dcterms:modified>
  <cp:revision>2</cp:revision>
  <dc:subject/>
  <dc:title>DUE 3/12/01</dc:title>
</cp:coreProperties>
</file>