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bCs/>
        </w:rPr>
      </w:pPr>
      <w:r>
        <w:rPr>
          <w:bCs/>
        </w:rPr>
        <w:t>CONSULTING SERVICES AGREEMENT</w:t>
      </w:r>
    </w:p>
    <w:p>
      <w:pPr>
        <w:pStyle w:val="Normal"/>
        <w:tabs>
          <w:tab w:val="clear" w:pos="720"/>
          <w:tab w:val="left" w:pos="-720" w:leader="none"/>
        </w:tabs>
        <w:suppressAutoHyphens w:val="true"/>
        <w:jc w:val="both"/>
        <w:rPr>
          <w:rFonts w:ascii="Times New Roman" w:hAnsi="Times New Roman" w:cs="Times New Roman"/>
          <w:bCs/>
          <w:spacing w:val="-2"/>
          <w:sz w:val="24"/>
        </w:rPr>
      </w:pPr>
      <w:r>
        <w:rPr>
          <w:rFonts w:cs="Times New Roman" w:ascii="Times New Roman" w:hAnsi="Times New Roman"/>
          <w:bCs/>
          <w:spacing w:val="-2"/>
          <w:sz w:val="24"/>
        </w:rPr>
      </w:r>
    </w:p>
    <w:p>
      <w:pPr>
        <w:pStyle w:val="Normal"/>
        <w:suppressAutoHyphens w:val="true"/>
        <w:jc w:val="both"/>
        <w:rPr/>
      </w:pPr>
      <w:r>
        <w:rPr>
          <w:rFonts w:cs="Times New Roman" w:ascii="Times New Roman" w:hAnsi="Times New Roman"/>
          <w:spacing w:val="-3"/>
          <w:sz w:val="24"/>
        </w:rPr>
        <w:tab/>
        <w:t xml:space="preserve">This Consulting Services Agreement (“Agreement”) is entered into between </w:t>
      </w:r>
      <w:r>
        <w:rPr>
          <w:rFonts w:cs="Times New Roman" w:ascii="Times New Roman" w:hAnsi="Times New Roman"/>
          <w:b/>
          <w:bCs/>
          <w:sz w:val="24"/>
          <w:lang w:val="en-CA" w:eastAsia="en-CA"/>
        </w:rPr>
        <w:t>Enron</w:t>
      </w:r>
      <w:r>
        <w:rPr>
          <w:rFonts w:cs="Times New Roman" w:ascii="Times New Roman" w:hAnsi="Times New Roman"/>
          <w:sz w:val="24"/>
          <w:lang w:val="en-CA" w:eastAsia="en-CA"/>
        </w:rPr>
        <w:t xml:space="preserve"> </w:t>
      </w:r>
      <w:r>
        <w:rPr>
          <w:rFonts w:cs="Times New Roman" w:ascii="Times New Roman" w:hAnsi="Times New Roman"/>
          <w:b/>
          <w:bCs/>
          <w:sz w:val="24"/>
          <w:lang w:val="en-CA" w:eastAsia="en-CA"/>
        </w:rPr>
        <w:t>Midstream Services, L.L.C.</w:t>
      </w:r>
      <w:r>
        <w:rPr>
          <w:rFonts w:cs="Times New Roman" w:ascii="Times New Roman" w:hAnsi="Times New Roman"/>
          <w:sz w:val="24"/>
        </w:rPr>
        <w:t>, its affiliates, officers, directors, employees, and representatives,</w:t>
      </w:r>
      <w:r>
        <w:rPr>
          <w:rFonts w:cs="Times New Roman" w:ascii="Times New Roman" w:hAnsi="Times New Roman"/>
          <w:smallCaps/>
          <w:sz w:val="24"/>
        </w:rPr>
        <w:t xml:space="preserve"> </w:t>
      </w:r>
      <w:r>
        <w:rPr>
          <w:rFonts w:cs="Times New Roman" w:ascii="Times New Roman" w:hAnsi="Times New Roman"/>
          <w:spacing w:val="-3"/>
          <w:sz w:val="24"/>
        </w:rPr>
        <w:t xml:space="preserve">having offices at 1400 Smith Street, Houston, Texas 77002 (“Company”), and </w:t>
      </w:r>
      <w:r>
        <w:rPr>
          <w:rFonts w:cs="Times New Roman" w:ascii="Times New Roman" w:hAnsi="Times New Roman"/>
          <w:b/>
          <w:bCs/>
          <w:sz w:val="24"/>
          <w:lang w:val="en-CA" w:eastAsia="en-CA"/>
        </w:rPr>
        <w:t>MTM Temps</w:t>
      </w:r>
      <w:r>
        <w:rPr>
          <w:rFonts w:cs="Times New Roman" w:ascii="Times New Roman" w:hAnsi="Times New Roman"/>
          <w:spacing w:val="-3"/>
          <w:sz w:val="24"/>
        </w:rPr>
        <w:t xml:space="preserve">, its officers, directors, employees, subcontractors, and representatives, having offices at </w:t>
      </w:r>
      <w:r>
        <w:rPr>
          <w:rFonts w:cs="Times New Roman" w:ascii="Times New Roman" w:hAnsi="Times New Roman"/>
          <w:spacing w:val="-3"/>
          <w:sz w:val="24"/>
          <w:lang w:val="en-CA" w:eastAsia="en-CA"/>
        </w:rPr>
        <w:t>310 South Miller, Suite B, Gillette, Wyoming 82716</w:t>
      </w:r>
      <w:r>
        <w:rPr>
          <w:rFonts w:cs="Times New Roman" w:ascii="Times New Roman" w:hAnsi="Times New Roman"/>
          <w:spacing w:val="-3"/>
          <w:sz w:val="24"/>
        </w:rPr>
        <w:t xml:space="preserve"> (“Consultant”). The parties agree as follows:</w:t>
      </w:r>
    </w:p>
    <w:p>
      <w:pPr>
        <w:pStyle w:val="Normal"/>
        <w:tabs>
          <w:tab w:val="left" w:pos="-720" w:leader="none"/>
          <w:tab w:val="left" w:pos="0" w:leader="none"/>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2"/>
        </w:numPr>
        <w:tabs>
          <w:tab w:val="clear" w:pos="720"/>
          <w:tab w:val="left" w:pos="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pacing w:val="-3"/>
          <w:sz w:val="24"/>
          <w:u w:val="single"/>
        </w:rPr>
        <w:t>Term.</w:t>
      </w:r>
      <w:r>
        <w:rPr>
          <w:rFonts w:cs="Times New Roman" w:ascii="Times New Roman" w:hAnsi="Times New Roman"/>
          <w:spacing w:val="-3"/>
          <w:sz w:val="24"/>
        </w:rPr>
        <w:t>  The original term of this Agreement shall be a 12-month period commencing on  June 1, 2000.  This Agreement may be renewed or extended by written agreement of the parties.</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2.</w:t>
        <w:tab/>
      </w:r>
      <w:r>
        <w:rPr>
          <w:rFonts w:cs="Times New Roman" w:ascii="Times New Roman" w:hAnsi="Times New Roman"/>
          <w:spacing w:val="-3"/>
          <w:sz w:val="24"/>
          <w:u w:val="single"/>
        </w:rPr>
        <w:t>Services.</w:t>
      </w:r>
    </w:p>
    <w:p>
      <w:pPr>
        <w:pStyle w:val="Normal"/>
        <w:tabs>
          <w:tab w:val="clear" w:pos="720"/>
          <w:tab w:val="left" w:pos="-720" w:leader="none"/>
          <w:tab w:val="left" w:pos="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 xml:space="preserve">Company engages Consultant to perform Services on matters relating to providing administrative, clerical, and secretarial skills (the “Services”).  </w:t>
      </w:r>
    </w:p>
    <w:p>
      <w:pPr>
        <w:pStyle w:val="Normal"/>
        <w:tabs>
          <w:tab w:val="left" w:pos="-720" w:leader="none"/>
          <w:tab w:val="left" w:pos="720" w:leader="none"/>
          <w:tab w:val="left" w:pos="1440" w:leader="none"/>
          <w:tab w:val="left" w:pos="2160" w:leader="none"/>
        </w:tabs>
        <w:suppressAutoHyphens w:val="true"/>
        <w:ind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Company enters into this Agreement based on Consultant’s demonstrated ability to perform the Services.  Consultant shall perform the Services in a good and workmanlike manner and in accordance with the highest industry standards.  Consequently, Company will not provide Consultant with any training or instructions with respect to the Services.  Similarly, Consultant is responsible for providing any equipment, materials, or supplies that Consultant determines is necessary to perform the Services.  Consultant has all necessary licenses, permits, and registrations required to provide the Services.</w:t>
      </w:r>
    </w:p>
    <w:p>
      <w:pPr>
        <w:pStyle w:val="Normal"/>
        <w:tabs>
          <w:tab w:val="left" w:pos="-720" w:leader="none"/>
          <w:tab w:val="left" w:pos="720" w:leader="none"/>
          <w:tab w:val="left" w:pos="1440" w:leader="none"/>
          <w:tab w:val="left" w:pos="216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720" w:leader="none"/>
          <w:tab w:val="left" w:pos="144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c.</w:t>
        <w:tab/>
        <w:t>Consultant certifies that it will comply with all applicable laws, statutes, and regulations relating to providing the Services, including but not limited to, the Foreign Corrupt Practices Act, environmental laws, employment laws, safety regulations, securities laws and regulations, antitrust laws, intellectual property laws, and any other applicable laws, statutes, or regulations.</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3.</w:t>
        <w:tab/>
      </w:r>
      <w:r>
        <w:rPr>
          <w:rFonts w:cs="Times New Roman" w:ascii="Times New Roman" w:hAnsi="Times New Roman"/>
          <w:spacing w:val="-3"/>
          <w:sz w:val="24"/>
          <w:u w:val="single"/>
        </w:rPr>
        <w:t>Payment to Consultant</w:t>
      </w:r>
      <w:r>
        <w:rPr>
          <w:rFonts w:cs="Times New Roman" w:ascii="Times New Roman" w:hAnsi="Times New Roman"/>
          <w:spacing w:val="-3"/>
          <w:sz w:val="24"/>
        </w:rPr>
        <w:t>.</w:t>
      </w:r>
    </w:p>
    <w:p>
      <w:pPr>
        <w:pStyle w:val="Normal"/>
        <w:tabs>
          <w:tab w:val="left" w:pos="-720" w:leader="none"/>
          <w:tab w:val="left" w:pos="0" w:leader="none"/>
          <w:tab w:val="left" w:pos="72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
        <w:numPr>
          <w:ilvl w:val="0"/>
          <w:numId w:val="5"/>
        </w:numPr>
        <w:ind w:firstLine="720" w:start="0" w:end="0"/>
        <w:rPr/>
      </w:pPr>
      <w:r>
        <w:rPr/>
        <w:t>During the term of this Agreement, the Company shall pay Consultant Twelve and 50/100 Dollars ($12.50) per hour for Services provided by Diane Allen.</w:t>
      </w:r>
    </w:p>
    <w:p>
      <w:pPr>
        <w:pStyle w:val="BodyTextIndent"/>
        <w:ind w:hanging="0" w:end="0"/>
        <w:rPr/>
      </w:pPr>
      <w:r>
        <w:rPr/>
      </w:r>
    </w:p>
    <w:p>
      <w:pPr>
        <w:pStyle w:val="BodyTextIndent"/>
        <w:numPr>
          <w:ilvl w:val="0"/>
          <w:numId w:val="5"/>
        </w:numPr>
        <w:ind w:firstLine="720" w:start="0" w:end="0"/>
        <w:rPr/>
      </w:pPr>
      <w:r>
        <w:rPr/>
        <w:t>Consultant is responsible for payment of its own office expenses such as rent, utilities, telephone, office supplies, etc.  If authorized and approved in advance by an officer of Company, Company will reimburse Consultant for out-of-pocket expenses actually incurred by Consultant in performance of the Services.  Consultant shall submit to the Company a monthly statement setting forth the time spent, services rendered, and related expenses (with records, receipts, or other supporting evidence as may be requested by Company).  Examples of acceptable forms of monthly statements may be provided at Consultant’s request.</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cs="Times New Roman" w:ascii="Times New Roman" w:hAnsi="Times New Roman"/>
          <w:sz w:val="24"/>
        </w:rPr>
        <w:t xml:space="preserve"> </w:t>
      </w:r>
    </w:p>
    <w:p>
      <w:pPr>
        <w:pStyle w:val="Normal"/>
        <w:jc w:val="both"/>
        <w:rPr/>
      </w:pPr>
      <w:r>
        <w:rPr>
          <w:rFonts w:cs="Times New Roman" w:ascii="Times New Roman" w:hAnsi="Times New Roman"/>
          <w:sz w:val="24"/>
        </w:rPr>
        <w:t>4.</w:t>
        <w:tab/>
      </w:r>
      <w:r>
        <w:rPr>
          <w:rFonts w:cs="Times New Roman" w:ascii="Times New Roman" w:hAnsi="Times New Roman"/>
          <w:sz w:val="24"/>
          <w:u w:val="single"/>
        </w:rPr>
        <w:t>Confidentiality Of Company’s Business.</w:t>
      </w:r>
      <w:r>
        <w:rPr>
          <w:rFonts w:cs="Times New Roman" w:ascii="Times New Roman" w:hAnsi="Times New Roman"/>
          <w:sz w:val="24"/>
        </w:rPr>
        <w:t xml:space="preserve"> Consultant acknowledges that the business of Company is highly competitive and that Consultant may have access to Confidential Information relating to the business of Company.  “Confidential Information” means and includes Company’s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Company’s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Company;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Consultant acknowledges that this Confidential Information constitutes a valuable, special, and unique asset of Company and that protection of such Confidential Information against unauthorized disclosure and use is of critical importance to Company in maintaining its competitive position.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720" w:leader="none"/>
        </w:tabs>
        <w:rPr>
          <w:spacing w:val="0"/>
        </w:rPr>
      </w:pPr>
      <w:r>
        <w:rPr/>
        <w:t>Consultant agrees that Consultant will not, at any time during or after the Term of this Agreement, make any unauthorized disclosure of any Confidential Information of Company, or make any use thereof, except in the carrying out of the Services.  Consultant also agrees to preserve and protect the confidentiality of third party Confidential Information to the same extent, and on the same basis, as Company's Confidential Information.</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3"/>
        </w:numPr>
        <w:tabs>
          <w:tab w:val="left" w:pos="-720" w:leader="none"/>
          <w:tab w:val="left" w:pos="72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z w:val="24"/>
          <w:u w:val="single"/>
        </w:rPr>
        <w:t>Protection of Company’s Business Interest.</w:t>
      </w:r>
      <w:r>
        <w:rPr>
          <w:rFonts w:cs="Times New Roman" w:ascii="Times New Roman" w:hAnsi="Times New Roman"/>
          <w:sz w:val="24"/>
        </w:rPr>
        <w:t xml:space="preserve">  Without prior written approval of the President of the Company, Consultant agrees that Consultant will not directly or indirectly, for itself or for others:  (a) consult, advise, counsel, or otherwise assist any competitor, of Company which, in any manner, would have, or is likely to have, a directly adverse effect upon Company; (b) consult, advise, counsel, or otherwise assist any Federal or State regulatory agency on any matter or in a regulatory proceeding which, in any manner, would have, or is likely to have, an adverse effect upon Company; or (c) f</w:t>
      </w:r>
      <w:r>
        <w:rPr>
          <w:rFonts w:cs="Times New Roman" w:ascii="Times New Roman" w:hAnsi="Times New Roman"/>
          <w:spacing w:val="-2"/>
          <w:sz w:val="24"/>
        </w:rPr>
        <w:t>or a period of twelve (12) months following the termination of this Agreement or the Services provided hereunder, Consultant will not, either directly or indirectly, call on, solicit, or induce any employee or officer of Company whom Consultant had contact with, knowledge of, or association with in the course of providing Services to terminate his or her employment, and will not assist any other person or entity in such a solicitation.</w:t>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sz w:val="24"/>
        </w:rPr>
      </w:pPr>
      <w:r>
        <w:rPr>
          <w:rFonts w:cs="Times New Roman" w:ascii="Times New Roman" w:hAnsi="Times New Roman"/>
          <w:spacing w:val="-3"/>
          <w:sz w:val="24"/>
        </w:rPr>
        <w:tab/>
        <w:tab/>
      </w:r>
    </w:p>
    <w:p>
      <w:pPr>
        <w:pStyle w:val="BodyTextIndent"/>
        <w:tabs>
          <w:tab w:val="clear" w:pos="1440"/>
          <w:tab w:val="clear" w:pos="2160"/>
          <w:tab w:val="left" w:pos="-720" w:leader="none"/>
          <w:tab w:val="left" w:pos="720" w:leader="none"/>
        </w:tabs>
        <w:ind w:hanging="0" w:start="0" w:end="0"/>
        <w:rPr>
          <w:b/>
          <w:bCs/>
        </w:rPr>
      </w:pPr>
      <w:r>
        <w:rPr>
          <w:b/>
          <w:bCs/>
        </w:rPr>
        <w:t>Consultant shall require that any person providing Services under this Agreement sign an Agreement of Confidentiality and Non-Solicitation.  (The form of that Agreement is attached).</w:t>
      </w:r>
    </w:p>
    <w:p>
      <w:pPr>
        <w:pStyle w:val="Normal"/>
        <w:tabs>
          <w:tab w:val="clear" w:pos="720"/>
          <w:tab w:val="left" w:pos="-720" w:leader="none"/>
        </w:tabs>
        <w:suppressAutoHyphens w:val="true"/>
        <w:jc w:val="both"/>
        <w:rPr>
          <w:rFonts w:ascii="Times New Roman" w:hAnsi="Times New Roman" w:cs="Times New Roman"/>
          <w:b/>
          <w:bCs/>
          <w:spacing w:val="-3"/>
          <w:sz w:val="24"/>
        </w:rPr>
      </w:pPr>
      <w:r>
        <w:rPr>
          <w:rFonts w:cs="Times New Roman" w:ascii="Times New Roman" w:hAnsi="Times New Roman"/>
          <w:b/>
          <w:bCs/>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6.</w:t>
        <w:tab/>
      </w:r>
      <w:r>
        <w:rPr>
          <w:rFonts w:cs="Times New Roman" w:ascii="Times New Roman" w:hAnsi="Times New Roman"/>
          <w:spacing w:val="-3"/>
          <w:sz w:val="24"/>
          <w:u w:val="single"/>
        </w:rPr>
        <w:t>Intellectual Property Rights</w:t>
      </w:r>
      <w:r>
        <w:rPr>
          <w:rFonts w:cs="Times New Roman" w:ascii="Times New Roman" w:hAnsi="Times New Roman"/>
          <w:spacing w:val="-3"/>
          <w:sz w:val="24"/>
        </w:rPr>
        <w:t>.</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3"/>
        <w:rPr>
          <w:b w:val="false"/>
        </w:rPr>
      </w:pPr>
      <w:r>
        <w:rPr>
          <w:b w:val="false"/>
        </w:rPr>
        <w:tab/>
        <w:t>a.</w:t>
        <w:tab/>
        <w:t>All information, data, documents, and materials provided by Company to Consultant, or acquired or learned by Consultant from Company’s files, documents, employees, or representatives (including Consultants), in connection with the Services, shall remain the sole and exclusive property of Company.  Consultant shall obtain no rights whatsoever, whether under applicable patent, copyright, trade secret laws or otherwise, in such information, data, documents, or materials unless specifically provided in writing by Company.</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BodyText3"/>
        <w:rPr>
          <w:b w:val="false"/>
        </w:rPr>
      </w:pPr>
      <w:r>
        <w:rPr>
          <w:b w:val="false"/>
        </w:rPr>
        <w:tab/>
        <w:t>b.</w:t>
        <w:tab/>
        <w:t>Consultant shall not disclose or provide to Company any information, ideas, concepts, improvements, discoveries, inventions, or forms of expression of ideas that Consultant does not own or otherwise have the right to disclose or provide to Company.  Consultant represents and warrants to Company that all information, ideas, concepts, improvements, discoveries, inventions, or forms of expression of ideas disclosed or provided to Company shall be free from third party claims of ownership and from third party intellectual property rights.</w:t>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 w:val="left" w:pos="0" w:leader="none"/>
          <w:tab w:val="left" w:pos="720" w:leader="none"/>
          <w:tab w:val="left" w:pos="1440" w:leader="none"/>
        </w:tabs>
        <w:suppressAutoHyphens w:val="true"/>
        <w:jc w:val="both"/>
        <w:rPr/>
      </w:pPr>
      <w:r>
        <w:rPr>
          <w:rFonts w:cs="Times New Roman" w:ascii="Times New Roman" w:hAnsi="Times New Roman"/>
          <w:b/>
          <w:bCs/>
          <w:spacing w:val="-3"/>
          <w:sz w:val="24"/>
        </w:rPr>
        <w:t>7.</w:t>
        <w:tab/>
      </w:r>
      <w:r>
        <w:rPr>
          <w:rFonts w:cs="Times New Roman" w:ascii="Times New Roman" w:hAnsi="Times New Roman"/>
          <w:b/>
          <w:bCs/>
          <w:spacing w:val="-3"/>
          <w:sz w:val="24"/>
          <w:u w:val="single"/>
        </w:rPr>
        <w:t>Indemnification</w:t>
      </w:r>
      <w:r>
        <w:rPr>
          <w:rFonts w:cs="Times New Roman" w:ascii="Times New Roman" w:hAnsi="Times New Roman"/>
          <w:b/>
          <w:bCs/>
          <w:spacing w:val="-3"/>
          <w:sz w:val="24"/>
        </w:rPr>
        <w:t>.</w:t>
        <w:tab/>
        <w:t>Consultant shall defend, protect, indemnify, and save Company harmless from and against all liability, claims, costs, expenses, demands, suits, and causes of action of every kind and character (the “Claims”) arising in favor of any person, corporation, or other entity, including Company or Consultant and their contractors  or agents, on account of personal injuries or death or damages to property in anywise incident to or in connection with or arising out of (a) the Services performed hereunder; (b) this Agreement; (c) the presence of Consultant on Company’s premises; or (d) the act or omission of Consultant or Consultant’s contractors or agents.  Although Consultant may be a subscriber under a worker’s compensation act, disability act, or other employee benefit act that would limit the amount of type of damages, compensation, or benefits payable by or for Consultant, Consultant expressly assumes the entire liability pursuant to this provision for any and all Claims against Company arising in favor of Consultant’s employees and its employees’ representatives and beneficiaries.</w:t>
      </w:r>
    </w:p>
    <w:p>
      <w:pPr>
        <w:pStyle w:val="Normal"/>
        <w:tabs>
          <w:tab w:val="clear" w:pos="720"/>
          <w:tab w:val="left" w:pos="-720" w:leader="none"/>
        </w:tabs>
        <w:suppressAutoHyphens w:val="true"/>
        <w:jc w:val="both"/>
        <w:rPr>
          <w:rFonts w:ascii="Times New Roman" w:hAnsi="Times New Roman" w:cs="Times New Roman"/>
          <w:b/>
          <w:bCs/>
          <w:spacing w:val="-3"/>
          <w:sz w:val="24"/>
        </w:rPr>
      </w:pPr>
      <w:r>
        <w:rPr>
          <w:rFonts w:cs="Times New Roman" w:ascii="Times New Roman" w:hAnsi="Times New Roman"/>
          <w:b/>
          <w:bCs/>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8.</w:t>
        <w:tab/>
      </w:r>
      <w:r>
        <w:rPr>
          <w:rFonts w:cs="Times New Roman" w:ascii="Times New Roman" w:hAnsi="Times New Roman"/>
          <w:spacing w:val="-3"/>
          <w:sz w:val="24"/>
          <w:u w:val="single"/>
        </w:rPr>
        <w:t>Insurance.</w:t>
      </w:r>
      <w:r>
        <w:rPr>
          <w:rFonts w:cs="Times New Roman" w:ascii="Times New Roman" w:hAnsi="Times New Roman"/>
          <w:spacing w:val="-3"/>
          <w:sz w:val="24"/>
        </w:rPr>
        <w:t xml:space="preserve">  </w:t>
      </w:r>
      <w:r>
        <w:rPr>
          <w:rFonts w:cs="Times New Roman" w:ascii="Times New Roman" w:hAnsi="Times New Roman"/>
          <w:sz w:val="24"/>
        </w:rPr>
        <w:t>Consultant shall procure and maintain such insurance coverage as Company reasonably requires from time to time.</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34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pPr>
      <w:r>
        <w:rPr>
          <w:rFonts w:cs="Times New Roman" w:ascii="Times New Roman" w:hAnsi="Times New Roman"/>
          <w:spacing w:val="-3"/>
          <w:sz w:val="24"/>
        </w:rPr>
        <w:t>9.</w:t>
        <w:tab/>
      </w:r>
      <w:r>
        <w:rPr>
          <w:rFonts w:cs="Times New Roman" w:ascii="Times New Roman" w:hAnsi="Times New Roman"/>
          <w:spacing w:val="-3"/>
          <w:sz w:val="24"/>
          <w:u w:val="single"/>
        </w:rPr>
        <w:t>Independent Consultant</w:t>
      </w:r>
      <w:r>
        <w:rPr>
          <w:rFonts w:cs="Times New Roman" w:ascii="Times New Roman" w:hAnsi="Times New Roman"/>
          <w:spacing w:val="-3"/>
          <w:sz w:val="24"/>
        </w:rPr>
        <w: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The Services performed by Consultant shall be as an independent Consultant and not as an employee.  Accordingly, Consultant is not entitled to the benefits provided by Company to its employees including, but not limited to, group insurance and participation in Company’s employee benefit and pension plans.</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In the event Consultant (and its employees, if any) for any reason were to become eligible to participate in a Company-sponsored benefit program, Consultant hereby waives any such right to participate in the program.  This waiver of any right to participate in Company-sponsored employee benefit programs represents a material component of the terms of payment agreed to by the parties.  Further, Consultant is not an agent, partner, or joint venturer of Company.  Consultant shall not represent self to third persons to be other than an independent Consultant of Company, nor shall Consultant permit itself to offer or agree to incur or assume any obligations or commitments in the name of Company or for Company without the prior written consent and authorization of the Company.</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hanging="0" w:start="0" w:end="0"/>
        <w:rPr/>
      </w:pPr>
      <w:r>
        <w:rPr/>
        <w:t xml:space="preserve"> </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c.</w:t>
        <w:tab/>
        <w:t>Consultant shall be responsible for payment of all taxes arising out of the Consultant’s activities under this contract, including by way of illustration but not limitation, federal and state income tax, Social Security tax, unemployment insurance taxes, and any other taxes or business license fees as required.  Company will neither pay unemployment taxes on, nor withhold employment taxes from, any compensation it pays Consultant.  Rather, Company will report the amounts it pays Consultant on IRS Form 1099, to the extent required to do so under applicable Internal Revenue Code provisions.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880" w:leader="none"/>
        </w:tabs>
        <w:suppressAutoHyphens w:val="true"/>
        <w:jc w:val="both"/>
        <w:rPr/>
      </w:pPr>
      <w:r>
        <w:rPr>
          <w:rFonts w:cs="Times New Roman" w:ascii="Times New Roman" w:hAnsi="Times New Roman"/>
          <w:spacing w:val="-3"/>
          <w:sz w:val="24"/>
        </w:rPr>
        <w:t>10.</w:t>
        <w:tab/>
      </w:r>
      <w:r>
        <w:rPr>
          <w:rFonts w:cs="Times New Roman" w:ascii="Times New Roman" w:hAnsi="Times New Roman"/>
          <w:spacing w:val="-3"/>
          <w:sz w:val="24"/>
          <w:u w:val="single"/>
        </w:rPr>
        <w:t>Notices.</w:t>
      </w:r>
      <w:r>
        <w:rPr>
          <w:rFonts w:cs="Times New Roman" w:ascii="Times New Roman" w:hAnsi="Times New Roman"/>
          <w:spacing w:val="-3"/>
          <w:sz w:val="24"/>
        </w:rPr>
        <w:t>  All notices under this Agreement by the terms shall be sent by telecopy or Certified Mail to the addresses set forth at the beginning of this Agreement.</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530" w:leader="none"/>
          <w:tab w:val="left" w:pos="2160" w:leader="none"/>
          <w:tab w:val="left" w:pos="2880" w:leader="none"/>
        </w:tabs>
        <w:suppressAutoHyphens w:val="true"/>
        <w:jc w:val="both"/>
        <w:rPr/>
      </w:pPr>
      <w:r>
        <w:rPr>
          <w:rFonts w:cs="Times New Roman" w:ascii="Times New Roman" w:hAnsi="Times New Roman"/>
          <w:spacing w:val="-3"/>
          <w:sz w:val="24"/>
        </w:rPr>
        <w:t>11.</w:t>
        <w:tab/>
      </w:r>
      <w:r>
        <w:rPr>
          <w:rFonts w:cs="Times New Roman" w:ascii="Times New Roman" w:hAnsi="Times New Roman"/>
          <w:spacing w:val="-3"/>
          <w:sz w:val="24"/>
          <w:u w:val="single"/>
        </w:rPr>
        <w:t>Waiver.</w:t>
      </w:r>
      <w:r>
        <w:rPr>
          <w:rFonts w:cs="Times New Roman" w:ascii="Times New Roman" w:hAnsi="Times New Roman"/>
          <w:spacing w:val="-3"/>
          <w:sz w:val="24"/>
        </w:rPr>
        <w:t>  Failure of Company at any time to require performance by Consultant of any provision hereof shall in no way affect the right of Company hereafter to enforce the same.  Nor shall any waiver by Company of any breach of any provision hereof be taken or held to be a waiver of any succeeding breach of such provision or as a waiver of this provision itself.</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1440" w:leader="none"/>
          <w:tab w:val="left" w:pos="2160" w:leader="none"/>
        </w:tabs>
        <w:suppressAutoHyphens w:val="true"/>
        <w:jc w:val="both"/>
        <w:rPr/>
      </w:pPr>
      <w:r>
        <w:rPr>
          <w:rFonts w:cs="Times New Roman" w:ascii="Times New Roman" w:hAnsi="Times New Roman"/>
          <w:spacing w:val="-3"/>
          <w:sz w:val="24"/>
        </w:rPr>
        <w:t>12.</w:t>
        <w:tab/>
      </w:r>
      <w:r>
        <w:rPr>
          <w:rFonts w:cs="Times New Roman" w:ascii="Times New Roman" w:hAnsi="Times New Roman"/>
          <w:spacing w:val="-3"/>
          <w:sz w:val="24"/>
          <w:u w:val="single"/>
        </w:rPr>
        <w:t>Applicable Law.</w:t>
      </w:r>
      <w:r>
        <w:rPr>
          <w:rFonts w:cs="Times New Roman" w:ascii="Times New Roman" w:hAnsi="Times New Roman"/>
          <w:spacing w:val="-3"/>
          <w:sz w:val="24"/>
        </w:rPr>
        <w:t>  This Agreement shall be governed by and be construed in accordance with the laws of the State of Texas, excluding applicable conflict-of-law rule(s) or principle(s).</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13.</w:t>
        <w:tab/>
      </w:r>
      <w:r>
        <w:rPr>
          <w:rFonts w:cs="Times New Roman" w:ascii="Times New Roman" w:hAnsi="Times New Roman"/>
          <w:spacing w:val="-3"/>
          <w:sz w:val="24"/>
          <w:u w:val="single"/>
        </w:rPr>
        <w:t>Severability.</w:t>
      </w:r>
      <w:r>
        <w:rPr>
          <w:rFonts w:cs="Times New Roman" w:ascii="Times New Roman" w:hAnsi="Times New Roman"/>
          <w:spacing w:val="-3"/>
          <w:sz w:val="24"/>
        </w:rPr>
        <w:t>  The terms in this Agreement shall be enforceable to the fullest extent permitted by law.  If any such term or covenant or the application thereof to any person or circumstance shall be construed to be invalid or unenforceable, then such term shall be construed in a manner as to permit its enforceability to the fullest extent permitted by law.  The remaining provisions of this Agreement shall remain in full force and effect.</w:t>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14.</w:t>
        <w:tab/>
      </w:r>
      <w:r>
        <w:rPr>
          <w:rFonts w:cs="Times New Roman" w:ascii="Times New Roman" w:hAnsi="Times New Roman"/>
          <w:spacing w:val="-3"/>
          <w:sz w:val="24"/>
          <w:u w:val="single"/>
        </w:rPr>
        <w:t>Successors And Assignment.</w:t>
      </w:r>
      <w:r>
        <w:rPr>
          <w:rFonts w:cs="Times New Roman" w:ascii="Times New Roman" w:hAnsi="Times New Roman"/>
          <w:spacing w:val="-3"/>
          <w:sz w:val="24"/>
        </w:rPr>
        <w:t>  This Agreement automatic</w:t>
        <w:softHyphen/>
        <w:t>ally shall be binding upon and shall inure to the benefit of any person, corporation, or entity which may hereafter acquire or succeed to all or substantially all of the business or assets of Company by purchase, merger, consolidation or by any other means whatsoever, whether direct or indirect.  This Agreement shall not be subcontracted or assigned by Consultant without prior written consent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15.</w:t>
        <w:tab/>
      </w:r>
      <w:r>
        <w:rPr>
          <w:rFonts w:cs="Times New Roman" w:ascii="Times New Roman" w:hAnsi="Times New Roman"/>
          <w:spacing w:val="-3"/>
          <w:sz w:val="24"/>
          <w:u w:val="single"/>
        </w:rPr>
        <w:t>Termination of Consulting Arrangement.</w:t>
      </w:r>
      <w:r>
        <w:rPr>
          <w:rFonts w:cs="Times New Roman" w:ascii="Times New Roman" w:hAnsi="Times New Roman"/>
          <w:spacing w:val="-3"/>
          <w:sz w:val="24"/>
        </w:rPr>
        <w:t>  This Agreement shall terminate, and all payments under paragraph (3) shall cease, in the event any of the following occurs: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Heading1"/>
        <w:rPr/>
      </w:pPr>
      <w:r>
        <w:rPr/>
        <w:tab/>
        <w:t>a.</w:t>
        <w:tab/>
        <w:t>Consultant has breached the provisions of paragraphs (4) or (5); or</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ab/>
        <w:t>b.</w:t>
        <w:tab/>
        <w:t>Consultant (i) is convicted of a felony; or (ii) willfully refuses without proper legal cause to perform the Services; or (iii) willfully engages in conduct that is injurious to the Company.  Termination under this subparagraph shall be effective immediately upon Notice to Consultant.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90" w:start="90" w:end="0"/>
        <w:rPr/>
      </w:pPr>
      <w:r>
        <w:rPr/>
        <w:tab/>
        <w:t>c.</w:t>
        <w:tab/>
        <w:t>Consultant or Company may terminate this Agreement at any time for any other reason by furnishing the other party with 5 days’ advance Notice of such termination.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2"/>
        <w:tabs>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16.</w:t>
        <w:tab/>
      </w:r>
      <w:r>
        <w:rPr>
          <w:u w:val="single"/>
        </w:rPr>
        <w:t>Controlled Substances; Weapons.</w:t>
      </w:r>
      <w:r>
        <w:rPr/>
        <w:t xml:space="preserve">  Consultant agrees to advise its employees, subcontractors, and agents that it is the policy of Company that:  (a) The use, possession, and/or distribution of illegal or unauthorized drugs, drug related paraphernalia, or weapons on Company’s premises is prohibited, and the use or possession of alcoholic beverages, except where authorized by Company’s management, also is prohibited; (b) Entry onto or presence on Company’s premises by any person, including Consultant, constitutes consent to Company to conduct searches, whether announced or unannounced, on Company’s premises of the person and Consultant’s personal effects for such prohibited items; (c) Any person who is found in violation of the policy or who refuses to permit a search may be removed and barred from Company’s premises, at the discretion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17.</w:t>
        <w:tab/>
      </w:r>
      <w:r>
        <w:rPr>
          <w:rFonts w:cs="Times New Roman" w:ascii="Times New Roman" w:hAnsi="Times New Roman"/>
          <w:spacing w:val="-3"/>
          <w:sz w:val="24"/>
          <w:u w:val="single"/>
        </w:rPr>
        <w:t>Other Agreements/Modifications</w:t>
      </w:r>
      <w:r>
        <w:rPr>
          <w:rFonts w:cs="Times New Roman" w:ascii="Times New Roman" w:hAnsi="Times New Roman"/>
          <w:spacing w:val="-3"/>
          <w:sz w:val="24"/>
        </w:rPr>
        <w:t xml:space="preserve">.  </w:t>
      </w:r>
      <w:r>
        <w:rPr>
          <w:rFonts w:cs="Times New Roman" w:ascii="Times New Roman" w:hAnsi="Times New Roman"/>
          <w:sz w:val="24"/>
        </w:rPr>
        <w:t>This Agreement supersedes all other preceding agreements between the parties and constitutes the entire agreement of the parties regarding the performance of the Services.  This Agreement may not be amended, modified, superseded, canceled, renewed, or extended without a written instrument executed by both parties.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800" w:start="180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18.</w:t>
        <w:tab/>
      </w:r>
      <w:r>
        <w:rPr>
          <w:rFonts w:cs="Times New Roman" w:ascii="Times New Roman" w:hAnsi="Times New Roman"/>
          <w:spacing w:val="-2"/>
          <w:sz w:val="24"/>
          <w:u w:val="single"/>
        </w:rPr>
        <w:t>Warranty and Indemnification</w:t>
      </w:r>
      <w:r>
        <w:rPr>
          <w:rFonts w:cs="Times New Roman" w:ascii="Times New Roman" w:hAnsi="Times New Roman"/>
          <w:spacing w:val="-2"/>
          <w:sz w:val="24"/>
        </w:rPr>
        <w:t>.  Consultant warrants that Consultant is not a party to any restrictive agreement limiting Consultant’s activities in providing the Services.  Consultant further warrants that at the time of the signing of this Agreement, Consultant knows of no written or oral contract or of any other impediment that would inhibit or prohibit this consulting arrangement with Company, and that Consultant will not knowingly use any trade secret, confidential information, or other intellectual property right of any other party in the performance of the Services.  Consultant shall hold Company harmless from any and all suits and claims arising out of any breach of such restrictive agreement or contracts.</w:t>
      </w:r>
    </w:p>
    <w:p>
      <w:pPr>
        <w:pStyle w:val="BodyText"/>
        <w:rPr>
          <w:rFonts w:ascii="Times New Roman" w:hAnsi="Times New Roman" w:cs="Times New Roman"/>
          <w:spacing w:val="-3"/>
          <w:sz w:val="24"/>
        </w:rPr>
      </w:pPr>
      <w:r>
        <w:rPr>
          <w:rFonts w:cs="Times New Roman"/>
          <w:spacing w:val="-3"/>
          <w:sz w:val="24"/>
        </w:rPr>
      </w:r>
    </w:p>
    <w:p>
      <w:pPr>
        <w:pStyle w:val="BodyText"/>
        <w:rPr/>
      </w:pPr>
      <w:r>
        <w:rPr/>
        <w:t>19.</w:t>
        <w:tab/>
      </w:r>
      <w:r>
        <w:rPr>
          <w:u w:val="single"/>
        </w:rPr>
        <w:t>Advertising and Publicity</w:t>
      </w:r>
      <w:r>
        <w:rPr/>
        <w:t>.  Consultant shall not use the name of Company or any of its employees in any advertising, publicity, or selling material without prior written approval of Company.</w:t>
        <w:tab/>
      </w:r>
    </w:p>
    <w:p>
      <w:pPr>
        <w:pStyle w:val="BodyText"/>
        <w:rPr/>
      </w:pPr>
      <w:r>
        <w:rPr/>
      </w:r>
    </w:p>
    <w:p>
      <w:pPr>
        <w:pStyle w:val="BodyText"/>
        <w:rPr/>
      </w:pPr>
      <w:r>
        <w:rPr/>
        <w:tab/>
        <w:t>IN WITNESS WHEREOF, the parties have caused this Agreement to be executed as of the day and year first above written.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5040" w:leader="none"/>
        </w:tabs>
        <w:suppressAutoHyphens w:val="true"/>
        <w:ind w:hanging="5040" w:start="5040" w:end="0"/>
        <w:jc w:val="both"/>
        <w:rPr/>
      </w:pPr>
      <w:r>
        <w:rPr>
          <w:rFonts w:cs="Times New Roman" w:ascii="Times New Roman" w:hAnsi="Times New Roman"/>
          <w:b/>
          <w:bCs/>
          <w:spacing w:val="-3"/>
          <w:sz w:val="24"/>
          <w:lang w:val="en-CA" w:eastAsia="en-CA"/>
        </w:rPr>
        <w:t>MTM Temps</w:t>
      </w:r>
      <w:r>
        <w:rPr>
          <w:rFonts w:cs="Times New Roman" w:ascii="Times New Roman" w:hAnsi="Times New Roman"/>
          <w:b/>
          <w:bCs/>
          <w:spacing w:val="-3"/>
          <w:sz w:val="24"/>
        </w:rPr>
        <w:tab/>
        <w:tab/>
        <w:tab/>
        <w:t>Enron North America Corp.,</w:t>
      </w:r>
    </w:p>
    <w:p>
      <w:pPr>
        <w:pStyle w:val="Normal"/>
        <w:tabs>
          <w:tab w:val="left" w:pos="0" w:leader="none"/>
          <w:tab w:val="left" w:pos="720" w:leader="none"/>
          <w:tab w:val="left" w:pos="1440" w:leader="none"/>
          <w:tab w:val="left" w:pos="2160" w:leader="none"/>
          <w:tab w:val="left" w:pos="5040" w:leader="none"/>
        </w:tabs>
        <w:suppressAutoHyphens w:val="true"/>
        <w:ind w:hanging="5040" w:start="5040" w:end="0"/>
        <w:jc w:val="both"/>
        <w:rPr>
          <w:rFonts w:ascii="Times New Roman" w:hAnsi="Times New Roman" w:cs="Times New Roman"/>
          <w:b/>
          <w:bCs/>
          <w:spacing w:val="-3"/>
          <w:sz w:val="24"/>
        </w:rPr>
      </w:pPr>
      <w:r>
        <w:rPr>
          <w:rFonts w:cs="Times New Roman" w:ascii="Times New Roman" w:hAnsi="Times New Roman"/>
          <w:b/>
          <w:bCs/>
          <w:spacing w:val="-3"/>
          <w:sz w:val="24"/>
        </w:rPr>
        <w:tab/>
        <w:tab/>
        <w:tab/>
        <w:tab/>
        <w:t>Managing Member of</w:t>
      </w:r>
    </w:p>
    <w:p>
      <w:pPr>
        <w:pStyle w:val="Normal"/>
        <w:tabs>
          <w:tab w:val="left" w:pos="0" w:leader="none"/>
          <w:tab w:val="left" w:pos="720" w:leader="none"/>
          <w:tab w:val="left" w:pos="1440" w:leader="none"/>
          <w:tab w:val="left" w:pos="2160" w:leader="none"/>
          <w:tab w:val="left" w:pos="5040" w:leader="none"/>
        </w:tabs>
        <w:suppressAutoHyphens w:val="true"/>
        <w:ind w:hanging="5040" w:start="5040" w:end="0"/>
        <w:jc w:val="both"/>
        <w:rPr>
          <w:rFonts w:ascii="Times New Roman" w:hAnsi="Times New Roman" w:cs="Times New Roman"/>
          <w:b/>
          <w:bCs/>
          <w:spacing w:val="-3"/>
          <w:sz w:val="24"/>
        </w:rPr>
      </w:pPr>
      <w:r>
        <w:rPr>
          <w:rFonts w:cs="Times New Roman" w:ascii="Times New Roman" w:hAnsi="Times New Roman"/>
          <w:b/>
          <w:bCs/>
          <w:spacing w:val="-3"/>
          <w:sz w:val="24"/>
        </w:rPr>
        <w:tab/>
        <w:tab/>
        <w:tab/>
        <w:tab/>
      </w:r>
      <w:r>
        <w:rPr>
          <w:rFonts w:cs="Times New Roman" w:ascii="Times New Roman" w:hAnsi="Times New Roman"/>
          <w:b/>
          <w:bCs/>
          <w:spacing w:val="-3"/>
          <w:sz w:val="24"/>
          <w:lang w:val="en-CA" w:eastAsia="en-CA"/>
        </w:rPr>
        <w:t>Enron Midstream Services, L.L.C.</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bCs/>
          <w:smallCaps/>
          <w:spacing w:val="-3"/>
          <w:sz w:val="24"/>
        </w:rPr>
      </w:pPr>
      <w:r>
        <w:rPr>
          <w:rFonts w:cs="Times New Roman" w:ascii="Times New Roman" w:hAnsi="Times New Roman"/>
          <w:b/>
          <w:bCs/>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mallCaps/>
          <w:spacing w:val="-3"/>
          <w:sz w:val="24"/>
        </w:rPr>
      </w:pPr>
      <w:r>
        <w:rPr>
          <w:rFonts w:cs="Times New Roman" w:ascii="Times New Roman" w:hAnsi="Times New Roman"/>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mallCaps/>
          <w:spacing w:val="-3"/>
          <w:sz w:val="24"/>
        </w:rPr>
      </w:pPr>
      <w:r>
        <w:rPr>
          <w:rFonts w:cs="Times New Roman" w:ascii="Times New Roman" w:hAnsi="Times New Roman"/>
          <w:smallCaps/>
          <w:spacing w:val="-3"/>
          <w:sz w:val="24"/>
        </w:rPr>
      </w:r>
    </w:p>
    <w:p>
      <w:pPr>
        <w:pStyle w:val="Normal"/>
        <w:tabs>
          <w:tab w:val="left" w:pos="0" w:leader="none"/>
          <w:tab w:val="left" w:pos="720" w:leader="none"/>
          <w:tab w:val="left" w:pos="1440" w:leader="none"/>
          <w:tab w:val="left" w:pos="2160" w:leader="none"/>
          <w:tab w:val="left" w:pos="3960" w:leader="none"/>
        </w:tabs>
        <w:suppressAutoHyphens w:val="true"/>
        <w:ind w:end="-180"/>
        <w:jc w:val="both"/>
        <w:rPr/>
      </w:pPr>
      <w:r>
        <w:rPr>
          <w:rFonts w:cs="Times New Roman" w:ascii="Times New Roman" w:hAnsi="Times New Roman"/>
          <w:spacing w:val="-3"/>
          <w:sz w:val="24"/>
        </w:rPr>
        <w:t xml:space="preserve">By:  </w:t>
      </w:r>
      <w:r>
        <w:rPr>
          <w:rFonts w:cs="Times New Roman" w:ascii="Times New Roman" w:hAnsi="Times New Roman"/>
          <w:spacing w:val="-3"/>
          <w:sz w:val="24"/>
          <w:u w:val="single"/>
        </w:rPr>
        <w:tab/>
        <w:tab/>
        <w:tab/>
        <w:tab/>
      </w:r>
      <w:r>
        <w:rPr>
          <w:rFonts w:cs="Times New Roman" w:ascii="Times New Roman" w:hAnsi="Times New Roman"/>
          <w:spacing w:val="-3"/>
          <w:sz w:val="24"/>
        </w:rPr>
        <w:tab/>
        <w:tab/>
        <w:t xml:space="preserve">By:  </w:t>
      </w:r>
      <w:r>
        <w:rPr>
          <w:rFonts w:cs="Times New Roman" w:ascii="Times New Roman" w:hAnsi="Times New Roman"/>
          <w:spacing w:val="-3"/>
          <w:sz w:val="24"/>
          <w:u w:val="single"/>
        </w:rPr>
        <w:tab/>
        <w:tab/>
        <w:tab/>
        <w:tab/>
        <w:tab/>
        <w:tab/>
      </w:r>
    </w:p>
    <w:p>
      <w:pPr>
        <w:pStyle w:val="Heading4"/>
        <w:tabs>
          <w:tab w:val="left" w:pos="0" w:leader="none"/>
          <w:tab w:val="left" w:pos="450" w:leader="none"/>
          <w:tab w:val="left" w:pos="1440" w:leader="none"/>
          <w:tab w:val="left" w:pos="2160" w:leader="none"/>
          <w:tab w:val="left" w:pos="2880" w:leader="none"/>
          <w:tab w:val="left" w:pos="5490" w:leader="none"/>
        </w:tabs>
        <w:ind w:hanging="0" w:start="0"/>
        <w:rPr/>
      </w:pPr>
      <w:r>
        <w:rPr/>
        <w:tab/>
        <w:t>This ____ day of ___________, 2000</w:t>
        <w:tab/>
        <w:t xml:space="preserve">Name:  </w:t>
      </w:r>
      <w:r>
        <w:rPr>
          <w:u w:val="single"/>
        </w:rPr>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490" w:leader="none"/>
        </w:tabs>
        <w:suppressAutoHyphens w:val="true"/>
        <w:ind w:end="-90"/>
        <w:jc w:val="both"/>
        <w:rPr>
          <w:rFonts w:ascii="Times New Roman" w:hAnsi="Times New Roman" w:cs="Times New Roman"/>
          <w:spacing w:val="-3"/>
          <w:sz w:val="24"/>
        </w:rPr>
      </w:pPr>
      <w:r>
        <w:rPr>
          <w:rFonts w:cs="Times New Roman" w:ascii="Times New Roman" w:hAnsi="Times New Roman"/>
          <w:spacing w:val="-3"/>
          <w:sz w:val="24"/>
        </w:rPr>
        <w:tab/>
        <w:tab/>
        <w:tab/>
        <w:tab/>
        <w:tab/>
        <w:tab/>
        <w:tab/>
        <w:t xml:space="preserve">Title:  </w:t>
      </w:r>
      <w:r>
        <w:rPr>
          <w:rFonts w:cs="Times New Roman" w:ascii="Times New Roman" w:hAnsi="Times New Roman"/>
          <w:spacing w:val="-3"/>
          <w:sz w:val="24"/>
          <w:u w:val="single"/>
        </w:rPr>
        <w:tab/>
        <w:tab/>
        <w:tab/>
        <w:tab/>
        <w:tab/>
      </w:r>
    </w:p>
    <w:p>
      <w:pPr>
        <w:pStyle w:val="Heading2"/>
        <w:tabs>
          <w:tab w:val="clear" w:pos="5400"/>
          <w:tab w:val="clear" w:pos="585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90" w:leader="none"/>
          <w:tab w:val="left" w:pos="7200" w:leader="none"/>
          <w:tab w:val="left" w:pos="7800" w:leader="none"/>
          <w:tab w:val="left" w:pos="8400" w:leader="none"/>
        </w:tabs>
        <w:rPr/>
      </w:pPr>
      <w:r>
        <w:rPr/>
        <w:tab/>
        <w:tab/>
        <w:tab/>
        <w:tab/>
        <w:tab/>
        <w:tab/>
        <w:tab/>
        <w:tab/>
        <w:tab/>
        <w:t>This ____ day of ______________, 2000</w:t>
      </w:r>
    </w:p>
    <w:p>
      <w:pPr>
        <w:sectPr>
          <w:headerReference w:type="default" r:id="rId2"/>
          <w:footerReference w:type="default" r:id="rId3"/>
          <w:type w:val="nextPage"/>
          <w:pgSz w:w="12240" w:h="15840"/>
          <w:pgMar w:left="1440" w:right="1260" w:gutter="0" w:header="432" w:top="1152" w:footer="432" w:bottom="1152"/>
          <w:pgNumType w:start="1" w:fmt="decimal"/>
          <w:formProt w:val="false"/>
          <w:textDirection w:val="lrTb"/>
          <w:docGrid w:type="default" w:linePitch="360" w:charSpace="0"/>
        </w:sectPr>
      </w:pPr>
    </w:p>
    <w:p>
      <w:pPr>
        <w:pStyle w:val="Normal"/>
        <w:tabs>
          <w:tab w:val="clear" w:pos="720"/>
          <w:tab w:val="center" w:pos="468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sectPr>
      <w:type w:val="continuous"/>
      <w:pgSz w:w="12240" w:h="15840"/>
      <w:pgMar w:left="1440" w:right="1260" w:gutter="0" w:header="432" w:top="1152" w:footer="432" w:bottom="115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4"/>
        <w:lang w:val="en-CA" w:eastAsia="en-CA"/>
      </w:rPr>
      <w:t>3513mhc.doc</w:t>
    </w:r>
    <w:r>
      <w:rPr>
        <w:rFonts w:cs="Times New Roman" w:ascii="Times New Roman" w:hAnsi="Times New Roman"/>
        <w:spacing w:val="-2"/>
        <w:sz w:val="14"/>
      </w:rPr>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5</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t>018/rev.3/00</w:t>
      <w:tab/>
      <w:t>Consulting Services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9270" w:leader="none"/>
      </w:tabs>
      <w:rPr/>
    </w:pPr>
    <w:r>
      <w:rPr/>
      <w:tab/>
    </w:r>
    <w:r>
      <w:rPr>
        <w:rFonts w:cs="Times New Roman" w:ascii="Times New Roman" w:hAnsi="Times New Roman"/>
        <w:b/>
      </w:rPr>
      <w:t>8/2/00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5"/>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outlineLvl w:val="0"/>
    </w:pPr>
    <w:rPr>
      <w:rFonts w:ascii="Times New Roman" w:hAnsi="Times New Roman" w:cs="Times New Roman"/>
      <w:spacing w:val="-3"/>
      <w:sz w:val="24"/>
    </w:rPr>
  </w:style>
  <w:style w:type="paragraph" w:styleId="Heading2">
    <w:name w:val="heading 2"/>
    <w:basedOn w:val="Normal"/>
    <w:next w:val="Normal"/>
    <w:qFormat/>
    <w:pPr>
      <w:keepNext w:val="true"/>
      <w:numPr>
        <w:ilvl w:val="1"/>
        <w:numId w:val="1"/>
      </w:numPr>
      <w:tabs>
        <w:tab w:val="clear" w:pos="72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5850" w:leader="none"/>
        <w:tab w:val="left" w:pos="7200" w:leader="none"/>
        <w:tab w:val="left" w:pos="7800" w:leader="none"/>
        <w:tab w:val="left" w:pos="8400" w:leader="none"/>
      </w:tabs>
      <w:suppressAutoHyphens w:val="true"/>
      <w:ind w:hanging="0" w:start="0" w:end="36"/>
      <w:jc w:val="both"/>
      <w:outlineLvl w:val="1"/>
    </w:pPr>
    <w:rPr>
      <w:rFonts w:ascii="Times New Roman" w:hAnsi="Times New Roman" w:cs="Times New Roman"/>
      <w:spacing w:val="-3"/>
      <w:sz w:val="24"/>
    </w:rPr>
  </w:style>
  <w:style w:type="paragraph" w:styleId="Heading3">
    <w:name w:val="heading 3"/>
    <w:basedOn w:val="Normal"/>
    <w:next w:val="Normal"/>
    <w:qFormat/>
    <w:pPr>
      <w:keepNext w:val="true"/>
      <w:numPr>
        <w:ilvl w:val="2"/>
        <w:numId w:val="1"/>
      </w:numPr>
      <w:tabs>
        <w:tab w:val="clear" w:pos="720"/>
        <w:tab w:val="center" w:pos="4680" w:leader="none"/>
      </w:tabs>
      <w:suppressAutoHyphens w:val="true"/>
      <w:jc w:val="center"/>
      <w:outlineLvl w:val="2"/>
    </w:pPr>
    <w:rPr>
      <w:rFonts w:ascii="Times New Roman" w:hAnsi="Times New Roman" w:cs="Times New Roman"/>
      <w:b/>
      <w:smallCaps/>
      <w:sz w:val="24"/>
    </w:rPr>
  </w:style>
  <w:style w:type="paragraph" w:styleId="Heading4">
    <w:name w:val="heading 4"/>
    <w:basedOn w:val="Normal"/>
    <w:next w:val="Normal"/>
    <w:qFormat/>
    <w:pPr>
      <w:keepNext w:val="true"/>
      <w:numPr>
        <w:ilvl w:val="3"/>
        <w:numId w:val="1"/>
      </w:numPr>
      <w:tabs>
        <w:tab w:val="clear" w:pos="720"/>
        <w:tab w:val="left" w:pos="0" w:leader="none"/>
        <w:tab w:val="left" w:pos="450" w:leader="none"/>
        <w:tab w:val="left" w:pos="1440" w:leader="none"/>
        <w:tab w:val="left" w:pos="2160" w:leader="none"/>
        <w:tab w:val="left" w:pos="2880" w:leader="none"/>
      </w:tabs>
      <w:suppressAutoHyphens w:val="true"/>
      <w:jc w:val="both"/>
      <w:outlineLvl w:val="3"/>
    </w:pPr>
    <w:rPr>
      <w:rFonts w:ascii="Times New Roman" w:hAnsi="Times New Roman" w:cs="Times New Roman"/>
      <w:spacing w:val="-3"/>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0"/>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0"/>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0"/>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0"/>
      <w:lang w:val="en-US"/>
    </w:rPr>
  </w:style>
  <w:style w:type="character" w:styleId="Technical2">
    <w:name w:val="Technical 2"/>
    <w:basedOn w:val="DefaultParagraphFont"/>
    <w:qFormat/>
    <w:rPr>
      <w:rFonts w:ascii="Courier New" w:hAnsi="Courier New" w:cs="Courier New"/>
      <w:sz w:val="20"/>
      <w:lang w:val="en-US"/>
    </w:rPr>
  </w:style>
  <w:style w:type="character" w:styleId="Technical3">
    <w:name w:val="Technical 3"/>
    <w:basedOn w:val="DefaultParagraphFont"/>
    <w:qFormat/>
    <w:rPr>
      <w:rFonts w:ascii="Courier New" w:hAnsi="Courier New" w:cs="Courier New"/>
      <w:sz w:val="20"/>
      <w:lang w:val="en-US"/>
    </w:rPr>
  </w:style>
  <w:style w:type="character" w:styleId="Technical1">
    <w:name w:val="Technical 1"/>
    <w:basedOn w:val="DefaultParagraphFont"/>
    <w:qFormat/>
    <w:rPr>
      <w:rFonts w:ascii="Courier New" w:hAnsi="Courier New" w:cs="Courier New"/>
      <w:sz w:val="20"/>
      <w:lang w:val="en-US"/>
    </w:rPr>
  </w:style>
  <w:style w:type="character" w:styleId="FOOTNOTE">
    <w:name w:val="FOOTNOTE"/>
    <w:basedOn w:val="DefaultParagraphFont"/>
    <w:qFormat/>
    <w:rPr>
      <w:rFonts w:ascii="Courier New" w:hAnsi="Courier New" w:cs="Courier New"/>
      <w:sz w:val="16"/>
      <w:lang w:val="en-US"/>
    </w:rPr>
  </w:style>
  <w:style w:type="character" w:styleId="HIGHLIGHT1">
    <w:name w:val="HIGHLIGHT 1"/>
    <w:basedOn w:val="DefaultParagraphFont"/>
    <w:qFormat/>
    <w:rPr>
      <w:rFonts w:ascii="Courier New" w:hAnsi="Courier New" w:cs="Courier New"/>
      <w:b/>
      <w:i/>
      <w:sz w:val="20"/>
      <w:lang w:val="en-US"/>
    </w:rPr>
  </w:style>
  <w:style w:type="character" w:styleId="DRAFTON">
    <w:name w:val="DRAFT ON"/>
    <w:basedOn w:val="DefaultParagraphFont"/>
    <w:qFormat/>
    <w:rPr>
      <w:rFonts w:ascii="Courier New" w:hAnsi="Courier New" w:cs="Courier New"/>
      <w:sz w:val="20"/>
      <w:lang w:val="en-US"/>
    </w:rPr>
  </w:style>
  <w:style w:type="character" w:styleId="DRAFTOFF">
    <w:name w:val="DRAFT OFF"/>
    <w:basedOn w:val="DefaultParagraphFont"/>
    <w:qFormat/>
    <w:rPr/>
  </w:style>
  <w:style w:type="character" w:styleId="HEADER1">
    <w:name w:val="HEADER1"/>
    <w:basedOn w:val="DefaultParagraphFont"/>
    <w:qFormat/>
    <w:rPr>
      <w:rFonts w:ascii="Courier New" w:hAnsi="Courier New" w:cs="Courier New"/>
      <w:sz w:val="20"/>
      <w:lang w:val="en-US"/>
    </w:rPr>
  </w:style>
  <w:style w:type="character" w:styleId="LETTERLAND">
    <w:name w:val="LETTER LAND"/>
    <w:basedOn w:val="DefaultParagraphFont"/>
    <w:qFormat/>
    <w:rPr>
      <w:rFonts w:ascii="Courier New" w:hAnsi="Courier New" w:cs="Courier New"/>
      <w:sz w:val="20"/>
      <w:lang w:val="en-US"/>
    </w:rPr>
  </w:style>
  <w:style w:type="character" w:styleId="LEGALLAND">
    <w:name w:val="LEGAL LAND"/>
    <w:basedOn w:val="DefaultParagraphFont"/>
    <w:qFormat/>
    <w:rPr>
      <w:rFonts w:ascii="Courier New" w:hAnsi="Courier New" w:cs="Courier New"/>
      <w:sz w:val="20"/>
      <w:lang w:val="en-US"/>
    </w:rPr>
  </w:style>
  <w:style w:type="character" w:styleId="LETTERPORT">
    <w:name w:val="LETTER PORT"/>
    <w:basedOn w:val="DefaultParagraphFont"/>
    <w:qFormat/>
    <w:rPr>
      <w:rFonts w:ascii="Courier New" w:hAnsi="Courier New" w:cs="Courier New"/>
      <w:sz w:val="20"/>
      <w:lang w:val="en-US"/>
    </w:rPr>
  </w:style>
  <w:style w:type="character" w:styleId="LEGALPORT">
    <w:name w:val="LEGAL PORT"/>
    <w:basedOn w:val="DefaultParagraphFont"/>
    <w:qFormat/>
    <w:rPr>
      <w:rFonts w:ascii="Courier New" w:hAnsi="Courier New" w:cs="Courier New"/>
      <w:sz w:val="20"/>
      <w:lang w:val="en-US"/>
    </w:rPr>
  </w:style>
  <w:style w:type="character" w:styleId="TITLE1">
    <w:name w:val="TITLE1"/>
    <w:basedOn w:val="DefaultParagraphFont"/>
    <w:qFormat/>
    <w:rPr>
      <w:b/>
      <w:sz w:val="30"/>
    </w:rPr>
  </w:style>
  <w:style w:type="character" w:styleId="FOOTER1">
    <w:name w:val="FOOTER1"/>
    <w:basedOn w:val="DefaultParagraphFont"/>
    <w:qFormat/>
    <w:rPr>
      <w:rFonts w:ascii="Courier New" w:hAnsi="Courier New" w:cs="Courier New"/>
      <w:sz w:val="20"/>
      <w:lang w:val="en-US"/>
    </w:rPr>
  </w:style>
  <w:style w:type="character" w:styleId="BLOCKQUOTE">
    <w:name w:val="BLOCK QUOTE"/>
    <w:basedOn w:val="DefaultParagraphFont"/>
    <w:qFormat/>
    <w:rPr/>
  </w:style>
  <w:style w:type="character" w:styleId="HEADING11">
    <w:name w:val="HEADING 11"/>
    <w:basedOn w:val="DefaultParagraphFont"/>
    <w:qFormat/>
    <w:rPr>
      <w:rFonts w:ascii="Courier New" w:hAnsi="Courier New" w:cs="Courier New"/>
      <w:b/>
      <w:sz w:val="24"/>
      <w:lang w:val="en-US"/>
    </w:rPr>
  </w:style>
  <w:style w:type="character" w:styleId="HEADING21">
    <w:name w:val="HEADING 21"/>
    <w:basedOn w:val="DefaultParagraphFont"/>
    <w:qFormat/>
    <w:rPr>
      <w:sz w:val="24"/>
      <w:u w:val="single"/>
    </w:rPr>
  </w:style>
  <w:style w:type="character" w:styleId="HEADING31">
    <w:name w:val="HEADING 31"/>
    <w:basedOn w:val="DefaultParagraphFont"/>
    <w:qFormat/>
    <w:rPr>
      <w:rFonts w:ascii="Courier New" w:hAnsi="Courier New" w:cs="Courier New"/>
      <w:b/>
      <w:sz w:val="20"/>
      <w:lang w:val="en-US"/>
    </w:rPr>
  </w:style>
  <w:style w:type="character" w:styleId="HIGHLIGHT2">
    <w:name w:val="HIGHLIGHT 2"/>
    <w:basedOn w:val="DefaultParagraphFont"/>
    <w:qFormat/>
    <w:rPr>
      <w:rFonts w:ascii="Courier New" w:hAnsi="Courier New" w:cs="Courier New"/>
      <w:b/>
      <w:sz w:val="24"/>
      <w:lang w:val="en-US"/>
    </w:rPr>
  </w:style>
  <w:style w:type="character" w:styleId="HIGHLIGHT3">
    <w:name w:val="HIGHLIGHT 3"/>
    <w:basedOn w:val="DefaultParagraphFont"/>
    <w:qFormat/>
    <w:rPr>
      <w:sz w:val="24"/>
      <w:u w:val="single"/>
    </w:rPr>
  </w:style>
  <w:style w:type="character" w:styleId="LETTERHEAD">
    <w:name w:val="LETTERHEAD"/>
    <w:basedOn w:val="DefaultParagraphFont"/>
    <w:qFormat/>
    <w:rPr/>
  </w:style>
  <w:style w:type="character" w:styleId="MEMORANDUM">
    <w:name w:val="MEMORANDUM"/>
    <w:basedOn w:val="DefaultParagraphFont"/>
    <w:qFormat/>
    <w:rPr>
      <w:sz w:val="20"/>
    </w:rPr>
  </w:style>
  <w:style w:type="character" w:styleId="INVOICEHEAD">
    <w:name w:val="INVOICE HEAD"/>
    <w:basedOn w:val="DefaultParagraphFont"/>
    <w:qFormat/>
    <w:rPr>
      <w:rFonts w:ascii="Courier New" w:hAnsi="Courier New" w:cs="Courier New"/>
      <w:sz w:val="20"/>
      <w:lang w:val="en-US"/>
    </w:rPr>
  </w:style>
  <w:style w:type="character" w:styleId="NORMAL1">
    <w:name w:val="NORMAL1"/>
    <w:basedOn w:val="DefaultParagraphFont"/>
    <w:qFormat/>
    <w:rPr>
      <w:rFonts w:ascii="Courier New" w:hAnsi="Courier New" w:cs="Courier New"/>
      <w:sz w:val="20"/>
      <w:lang w:val="en-US"/>
    </w:rPr>
  </w:style>
  <w:style w:type="character" w:styleId="SMALL">
    <w:name w:val="SMALL"/>
    <w:basedOn w:val="DefaultParagraphFont"/>
    <w:qFormat/>
    <w:rPr>
      <w:rFonts w:ascii="Courier New" w:hAnsi="Courier New" w:cs="Courier New"/>
      <w:sz w:val="16"/>
      <w:lang w:val="en-US"/>
    </w:rPr>
  </w:style>
  <w:style w:type="character" w:styleId="FINE">
    <w:name w:val="FINE"/>
    <w:basedOn w:val="DefaultParagraphFont"/>
    <w:qFormat/>
    <w:rPr>
      <w:rFonts w:ascii="Courier New" w:hAnsi="Courier New" w:cs="Courier New"/>
      <w:sz w:val="12"/>
      <w:lang w:val="en-US"/>
    </w:rPr>
  </w:style>
  <w:style w:type="character" w:styleId="LARGE">
    <w:name w:val="LARGE"/>
    <w:basedOn w:val="DefaultParagraphFont"/>
    <w:qFormat/>
    <w:rPr>
      <w:rFonts w:ascii="Courier New" w:hAnsi="Courier New" w:cs="Courier New"/>
      <w:sz w:val="24"/>
      <w:lang w:val="en-US"/>
    </w:rPr>
  </w:style>
  <w:style w:type="character" w:styleId="EXTRALARGE">
    <w:name w:val="EXTRA LARGE"/>
    <w:basedOn w:val="DefaultParagraphFont"/>
    <w:qFormat/>
    <w:rPr>
      <w:rFonts w:ascii="Courier New" w:hAnsi="Courier New" w:cs="Courier New"/>
      <w:sz w:val="40"/>
      <w:lang w:val="en-US"/>
    </w:rPr>
  </w:style>
  <w:style w:type="character" w:styleId="VERYLARGE">
    <w:name w:val="VERY LARGE"/>
    <w:basedOn w:val="DefaultParagraphFont"/>
    <w:qFormat/>
    <w:rPr>
      <w:rFonts w:ascii="Courier New" w:hAnsi="Courier New" w:cs="Courier New"/>
      <w:sz w:val="30"/>
      <w:lang w:val="en-US"/>
    </w:rPr>
  </w:style>
  <w:style w:type="character" w:styleId="EquationCaption">
    <w:name w:val="_Equation Caption"/>
    <w:qFormat/>
    <w:rPr/>
  </w:style>
  <w:style w:type="paragraph" w:styleId="Heading">
    <w:name w:val="Heading"/>
    <w:next w:val="BodyText"/>
    <w:qFormat/>
    <w:pPr>
      <w:widowControl/>
      <w:tabs>
        <w:tab w:val="clear" w:pos="720"/>
        <w:tab w:val="center" w:pos="468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BodyText">
    <w:name w:val="Body Text"/>
    <w:basedOn w:val="Normal"/>
    <w:pPr>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pPr>
    <w:rPr>
      <w:rFonts w:ascii="Times New Roman" w:hAnsi="Times New Roman" w:cs="Times New Roman"/>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0"/>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0"/>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0"/>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0"/>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0"/>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0"/>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0"/>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0"/>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0"/>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0"/>
      <w:szCs w:val="20"/>
      <w:lang w:val="en-US" w:bidi="ar-SA" w:eastAsia="zh-CN"/>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0"/>
    </w:pPr>
    <w:rPr>
      <w:rFonts w:ascii="Courier New" w:hAnsi="Courier New" w:eastAsia="Times New Roman" w:cs="Courier New"/>
      <w:color w:val="auto"/>
      <w:sz w:val="20"/>
      <w:szCs w:val="20"/>
      <w:lang w:val="en-US" w:bidi="ar-SA" w:eastAsia="zh-CN"/>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ourier New" w:hAnsi="Courier New" w:eastAsia="Times New Roman" w:cs="Courier New"/>
      <w:color w:val="auto"/>
      <w:sz w:val="20"/>
      <w:szCs w:val="20"/>
      <w:lang w:val="en-US" w:bidi="ar-SA" w:eastAsia="zh-CN"/>
    </w:rPr>
  </w:style>
  <w:style w:type="paragraph" w:styleId="Subheading">
    <w:name w:val="Subheading"/>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0" w:leader="none"/>
        <w:tab w:val="left" w:pos="720" w:leader="none"/>
      </w:tabs>
      <w:suppressAutoHyphens w:val="true"/>
      <w:ind w:hanging="720" w:start="2880" w:end="0"/>
      <w:jc w:val="both"/>
    </w:pPr>
    <w:rPr>
      <w:rFonts w:ascii="Times New Roman" w:hAnsi="Times New Roman" w:cs="Times New Roman"/>
      <w:spacing w:val="-3"/>
      <w:sz w:val="24"/>
    </w:rPr>
  </w:style>
  <w:style w:type="paragraph" w:styleId="WW-BodyText2">
    <w:name w:val="WW-Body Text 2"/>
    <w:basedOn w:val="Normal"/>
    <w:qFormat/>
    <w:pPr>
      <w:tabs>
        <w:tab w:val="clear" w:pos="720"/>
        <w:tab w:val="left" w:pos="0" w:leader="none"/>
        <w:tab w:val="left" w:pos="600" w:leader="none"/>
        <w:tab w:val="left" w:pos="1440" w:leader="none"/>
        <w:tab w:val="left" w:pos="216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pPr>
    <w:rPr>
      <w:rFonts w:ascii="Times New Roman" w:hAnsi="Times New Roman" w:cs="Times New Roman"/>
      <w:spacing w:val="-3"/>
      <w:sz w:val="24"/>
    </w:rPr>
  </w:style>
  <w:style w:type="paragraph" w:styleId="BodyTextIndent2">
    <w:name w:val="Body Text Indent 2"/>
    <w:basedOn w:val="Normal"/>
    <w:qFormat/>
    <w:p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0"/>
      <w:jc w:val="both"/>
    </w:pPr>
    <w:rPr>
      <w:rFonts w:ascii="Times New Roman" w:hAnsi="Times New Roman" w:cs="Times New Roman"/>
      <w:spacing w:val="-3"/>
      <w:sz w:val="24"/>
    </w:rPr>
  </w:style>
  <w:style w:type="paragraph" w:styleId="BodyTextIndent">
    <w:name w:val="Body Text Indent"/>
    <w:basedOn w:val="Normal"/>
    <w:pPr>
      <w:tabs>
        <w:tab w:val="left" w:pos="-720" w:leader="none"/>
        <w:tab w:val="left" w:pos="720" w:leader="none"/>
        <w:tab w:val="left" w:pos="1440" w:leader="none"/>
        <w:tab w:val="left" w:pos="2160" w:leader="none"/>
      </w:tabs>
      <w:suppressAutoHyphens w:val="true"/>
      <w:ind w:hanging="720" w:start="720" w:end="0"/>
      <w:jc w:val="both"/>
    </w:pPr>
    <w:rPr>
      <w:rFonts w:ascii="Times New Roman" w:hAnsi="Times New Roman" w:cs="Times New Roman"/>
      <w:spacing w:val="-3"/>
      <w:sz w:val="24"/>
    </w:rPr>
  </w:style>
  <w:style w:type="paragraph" w:styleId="BodyTextIndent3">
    <w:name w:val="Body Text Indent 3"/>
    <w:basedOn w:val="Normal"/>
    <w:qFormat/>
    <w:pPr>
      <w:ind w:firstLine="720" w:start="0" w:end="0"/>
      <w:jc w:val="both"/>
    </w:pPr>
    <w:rPr>
      <w:rFonts w:ascii="Times New Roman" w:hAnsi="Times New Roman" w:cs="Times New Roman"/>
      <w:spacing w:val="-2"/>
      <w:sz w:val="24"/>
    </w:rPr>
  </w:style>
  <w:style w:type="paragraph" w:styleId="Title">
    <w:name w:val="Title"/>
    <w:basedOn w:val="Normal"/>
    <w:next w:val="BodyText"/>
    <w:qFormat/>
    <w:pPr>
      <w:suppressAutoHyphens w:val="true"/>
      <w:jc w:val="center"/>
    </w:pPr>
    <w:rPr>
      <w:rFonts w:ascii="Times New Roman" w:hAnsi="Times New Roman" w:cs="Times New Roman"/>
      <w:b/>
      <w:sz w:val="24"/>
    </w:rPr>
  </w:style>
  <w:style w:type="paragraph" w:styleId="BodyText3">
    <w:name w:val="Body Text 3"/>
    <w:basedOn w:val="Normal"/>
    <w:qFormat/>
    <w:pPr>
      <w:tabs>
        <w:tab w:val="left" w:pos="-720" w:leader="none"/>
        <w:tab w:val="left" w:pos="0" w:leader="none"/>
        <w:tab w:val="left" w:pos="720" w:leader="none"/>
        <w:tab w:val="left" w:pos="1440" w:leader="none"/>
      </w:tabs>
      <w:suppressAutoHyphens w:val="true"/>
      <w:jc w:val="both"/>
    </w:pPr>
    <w:rPr>
      <w:rFonts w:ascii="Times New Roman" w:hAnsi="Times New Roman" w:cs="Times New Roman"/>
      <w:b/>
      <w:spacing w:val="-3"/>
      <w:sz w:val="24"/>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2000-08-21T17:28:00Z</dcterms:created>
  <dc:creator>Enron</dc:creator>
  <dc:description/>
  <dc:language>en-CA</dc:language>
  <cp:lastModifiedBy>gnemec</cp:lastModifiedBy>
  <cp:lastPrinted>2000-08-02T15:06:00Z</cp:lastPrinted>
  <dcterms:modified xsi:type="dcterms:W3CDTF">2000-08-21T17:35:00Z</dcterms:modified>
  <cp:revision>4</cp:revision>
  <dc:subject/>
  <dc:title>CONSULTING SERVICES AGREEMENT</dc:title>
</cp:coreProperties>
</file>