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rPr>
          <w:sz w:val="22"/>
        </w:rPr>
      </w:pPr>
      <w:r>
        <w:rPr>
          <w:b/>
          <w:i/>
          <w:sz w:val="28"/>
        </w:rPr>
        <w:t>Las Vegas Cogeneration, L.P. and Las Vegas Cogeneration, II L.L.C.</w:t>
      </w:r>
    </w:p>
    <w:p>
      <w:pPr>
        <w:pStyle w:val="Normal"/>
        <w:rPr>
          <w:sz w:val="22"/>
        </w:rPr>
      </w:pPr>
      <w:r>
        <w:rPr>
          <w:sz w:val="22"/>
        </w:rPr>
      </w:r>
    </w:p>
    <w:p>
      <w:pPr>
        <w:pStyle w:val="Normal"/>
        <w:rPr>
          <w:sz w:val="22"/>
        </w:rPr>
      </w:pPr>
      <w:r>
        <w:rPr>
          <w:sz w:val="22"/>
        </w:rPr>
        <w:t>Response to Allegheny (Jones Day) 10/23/00 questions.</w:t>
      </w:r>
    </w:p>
    <w:p>
      <w:pPr>
        <w:pStyle w:val="Normal"/>
        <w:rPr>
          <w:sz w:val="22"/>
        </w:rPr>
      </w:pPr>
      <w:r>
        <w:rPr>
          <w:sz w:val="22"/>
        </w:rPr>
      </w:r>
    </w:p>
    <w:p>
      <w:pPr>
        <w:pStyle w:val="Heading1"/>
        <w:ind w:hanging="0" w:start="0"/>
        <w:rPr/>
      </w:pPr>
      <w:r>
        <w:rPr/>
        <w:t>Questions for All Facilities</w:t>
      </w:r>
    </w:p>
    <w:p>
      <w:pPr>
        <w:pStyle w:val="Normal"/>
        <w:rPr>
          <w:color w:val="000000"/>
          <w:sz w:val="22"/>
          <w:lang w:eastAsia="en-US"/>
        </w:rPr>
      </w:pPr>
      <w:r>
        <w:rPr>
          <w:color w:val="000000"/>
          <w:sz w:val="22"/>
          <w:lang w:eastAsia="en-US"/>
        </w:rPr>
      </w:r>
    </w:p>
    <w:p>
      <w:pPr>
        <w:pStyle w:val="Normal"/>
        <w:rPr/>
      </w:pPr>
      <w:r>
        <w:rPr>
          <w:b/>
          <w:i/>
          <w:color w:val="000000"/>
          <w:sz w:val="22"/>
          <w:lang w:eastAsia="en-US"/>
        </w:rPr>
        <w:t>1.</w:t>
      </w:r>
      <w:r>
        <w:rPr>
          <w:color w:val="000000"/>
          <w:sz w:val="22"/>
          <w:lang w:eastAsia="en-US"/>
        </w:rPr>
        <w:t xml:space="preserve">  </w:t>
      </w:r>
      <w:r>
        <w:rPr>
          <w:b/>
          <w:i/>
          <w:color w:val="000000"/>
          <w:sz w:val="22"/>
          <w:lang w:eastAsia="en-US"/>
        </w:rPr>
        <w:t>What are the limitations on the number of hours that each facility can</w:t>
      </w:r>
    </w:p>
    <w:p>
      <w:pPr>
        <w:pStyle w:val="Normal"/>
        <w:ind w:firstLine="270" w:end="0"/>
        <w:rPr>
          <w:b/>
          <w:i/>
          <w:i/>
          <w:color w:val="000000"/>
          <w:sz w:val="22"/>
          <w:lang w:eastAsia="en-US"/>
        </w:rPr>
      </w:pPr>
      <w:r>
        <w:rPr>
          <w:b/>
          <w:i/>
          <w:color w:val="000000"/>
          <w:sz w:val="22"/>
          <w:lang w:eastAsia="en-US"/>
        </w:rPr>
        <w:t>operate and what is the source of those limitations?</w:t>
      </w:r>
    </w:p>
    <w:p>
      <w:pPr>
        <w:pStyle w:val="Normal"/>
        <w:ind w:start="720" w:end="0"/>
        <w:rPr>
          <w:b/>
          <w:i/>
          <w:i/>
          <w:color w:val="000000"/>
          <w:sz w:val="22"/>
          <w:lang w:eastAsia="en-US"/>
        </w:rPr>
      </w:pPr>
      <w:r>
        <w:rPr>
          <w:b/>
          <w:i/>
          <w:color w:val="000000"/>
          <w:sz w:val="22"/>
          <w:lang w:eastAsia="en-US"/>
        </w:rPr>
      </w:r>
    </w:p>
    <w:p>
      <w:pPr>
        <w:pStyle w:val="Normal"/>
        <w:ind w:start="270" w:end="0"/>
        <w:rPr>
          <w:color w:val="000000"/>
          <w:sz w:val="22"/>
          <w:lang w:eastAsia="en-US"/>
        </w:rPr>
      </w:pPr>
      <w:r>
        <w:rPr>
          <w:color w:val="000000"/>
          <w:sz w:val="22"/>
          <w:lang w:eastAsia="en-US"/>
        </w:rPr>
        <w:t>LVCLP has no permit limitations on number of operational hours.  LVCII limitation is expected to be 7,920 hours per year for each turbine under the air permit application currently under review.</w:t>
      </w:r>
    </w:p>
    <w:p>
      <w:pPr>
        <w:pStyle w:val="Normal"/>
        <w:ind w:start="720" w:end="0"/>
        <w:rPr>
          <w:color w:val="000000"/>
          <w:sz w:val="22"/>
          <w:lang w:eastAsia="en-US"/>
        </w:rPr>
      </w:pPr>
      <w:r>
        <w:rPr>
          <w:color w:val="000000"/>
          <w:sz w:val="22"/>
          <w:lang w:eastAsia="en-US"/>
        </w:rPr>
      </w:r>
    </w:p>
    <w:p>
      <w:pPr>
        <w:pStyle w:val="Normal"/>
        <w:rPr/>
      </w:pPr>
      <w:r>
        <w:rPr>
          <w:b/>
          <w:i/>
          <w:color w:val="000000"/>
          <w:sz w:val="22"/>
          <w:lang w:eastAsia="en-US"/>
        </w:rPr>
        <w:t>2.</w:t>
      </w:r>
      <w:r>
        <w:rPr>
          <w:color w:val="000000"/>
          <w:sz w:val="22"/>
          <w:lang w:eastAsia="en-US"/>
        </w:rPr>
        <w:t xml:space="preserve">  </w:t>
      </w:r>
      <w:r>
        <w:rPr>
          <w:b/>
          <w:i/>
          <w:color w:val="000000"/>
          <w:sz w:val="22"/>
          <w:lang w:eastAsia="en-US"/>
        </w:rPr>
        <w:t>We understand that there are tentative expansion plans for each</w:t>
      </w:r>
    </w:p>
    <w:p>
      <w:pPr>
        <w:pStyle w:val="Normal"/>
        <w:ind w:start="270" w:end="0"/>
        <w:rPr>
          <w:color w:val="000000"/>
          <w:sz w:val="22"/>
          <w:lang w:eastAsia="en-US"/>
        </w:rPr>
      </w:pPr>
      <w:r>
        <w:rPr>
          <w:b/>
          <w:i/>
          <w:color w:val="000000"/>
          <w:sz w:val="22"/>
          <w:lang w:eastAsia="en-US"/>
        </w:rPr>
        <w:t xml:space="preserve">facility.  Were these future expansion plans disclosed to the regulating </w:t>
      </w:r>
      <w:r>
        <w:rPr>
          <w:color w:val="000000"/>
          <w:sz w:val="22"/>
          <w:lang w:eastAsia="en-US"/>
        </w:rPr>
        <w:t xml:space="preserve"> </w:t>
      </w:r>
      <w:r>
        <w:rPr>
          <w:b/>
          <w:i/>
          <w:color w:val="000000"/>
          <w:sz w:val="22"/>
          <w:lang w:eastAsia="en-US"/>
        </w:rPr>
        <w:t>agencies at the time that the air permits were applied for, particularly at those facilities which did not undergo PSD review?</w:t>
      </w:r>
    </w:p>
    <w:p>
      <w:pPr>
        <w:pStyle w:val="Normal"/>
        <w:ind w:start="720" w:end="0"/>
        <w:rPr>
          <w:color w:val="000000"/>
          <w:sz w:val="22"/>
          <w:lang w:eastAsia="en-US"/>
        </w:rPr>
      </w:pPr>
      <w:r>
        <w:rPr>
          <w:color w:val="000000"/>
          <w:sz w:val="22"/>
          <w:lang w:eastAsia="en-US"/>
        </w:rPr>
      </w:r>
    </w:p>
    <w:p>
      <w:pPr>
        <w:pStyle w:val="Normal"/>
        <w:ind w:start="270" w:end="0"/>
        <w:rPr>
          <w:color w:val="000000"/>
          <w:sz w:val="22"/>
          <w:lang w:eastAsia="en-US"/>
        </w:rPr>
      </w:pPr>
      <w:r>
        <w:rPr>
          <w:color w:val="000000"/>
          <w:sz w:val="22"/>
          <w:lang w:eastAsia="en-US"/>
        </w:rPr>
        <w:t>There are no expansion plans for either Las Vegas Cogeneration Limited Partnership or Las Vegas Cogeneration II, L.L.C., other than the currently planned construction of the 224 MW (nominal) LVC II generation facility.  The plans for LVCII were disclosed to the regulating environmental agencies.</w:t>
      </w:r>
    </w:p>
    <w:p>
      <w:pPr>
        <w:pStyle w:val="Normal"/>
        <w:ind w:start="720" w:end="0"/>
        <w:rPr>
          <w:color w:val="000000"/>
          <w:sz w:val="22"/>
          <w:lang w:eastAsia="en-US"/>
        </w:rPr>
      </w:pPr>
      <w:r>
        <w:rPr>
          <w:color w:val="000000"/>
          <w:sz w:val="22"/>
          <w:lang w:eastAsia="en-US"/>
        </w:rPr>
      </w:r>
    </w:p>
    <w:p>
      <w:pPr>
        <w:pStyle w:val="Normal"/>
        <w:rPr/>
      </w:pPr>
      <w:r>
        <w:rPr>
          <w:b/>
          <w:i/>
          <w:color w:val="000000"/>
          <w:sz w:val="22"/>
          <w:lang w:eastAsia="en-US"/>
        </w:rPr>
        <w:t>3.</w:t>
      </w:r>
      <w:r>
        <w:rPr>
          <w:color w:val="000000"/>
          <w:sz w:val="22"/>
          <w:lang w:eastAsia="en-US"/>
        </w:rPr>
        <w:t xml:space="preserve">  </w:t>
      </w:r>
      <w:r>
        <w:rPr>
          <w:b/>
          <w:i/>
          <w:color w:val="000000"/>
          <w:sz w:val="22"/>
          <w:lang w:eastAsia="en-US"/>
        </w:rPr>
        <w:t>Which facilities are required to perform continuous emissions</w:t>
      </w:r>
    </w:p>
    <w:p>
      <w:pPr>
        <w:pStyle w:val="Normal"/>
        <w:ind w:firstLine="270" w:end="0"/>
        <w:rPr>
          <w:b/>
          <w:i/>
          <w:i/>
          <w:color w:val="000000"/>
          <w:sz w:val="22"/>
          <w:lang w:eastAsia="en-US"/>
        </w:rPr>
      </w:pPr>
      <w:r>
        <w:rPr>
          <w:b/>
          <w:i/>
          <w:color w:val="000000"/>
          <w:sz w:val="22"/>
          <w:lang w:eastAsia="en-US"/>
        </w:rPr>
        <w:t>monitoring pursuant to its air permits?  For those facilities performing</w:t>
      </w:r>
    </w:p>
    <w:p>
      <w:pPr>
        <w:pStyle w:val="Normal"/>
        <w:ind w:firstLine="270" w:end="0"/>
        <w:rPr>
          <w:b/>
          <w:i/>
          <w:i/>
          <w:color w:val="000000"/>
          <w:sz w:val="22"/>
          <w:lang w:eastAsia="en-US"/>
        </w:rPr>
      </w:pPr>
      <w:r>
        <w:rPr>
          <w:b/>
          <w:i/>
          <w:color w:val="000000"/>
          <w:sz w:val="22"/>
          <w:lang w:eastAsia="en-US"/>
        </w:rPr>
        <w:t>CEM, please provide the last two years of data.</w:t>
      </w:r>
    </w:p>
    <w:p>
      <w:pPr>
        <w:pStyle w:val="Normal"/>
        <w:ind w:start="720" w:end="0"/>
        <w:rPr>
          <w:b/>
          <w:i/>
          <w:i/>
          <w:color w:val="000000"/>
          <w:sz w:val="22"/>
          <w:lang w:eastAsia="en-US"/>
        </w:rPr>
      </w:pPr>
      <w:r>
        <w:rPr>
          <w:b/>
          <w:i/>
          <w:color w:val="000000"/>
          <w:sz w:val="22"/>
          <w:lang w:eastAsia="en-US"/>
        </w:rPr>
      </w:r>
    </w:p>
    <w:p>
      <w:pPr>
        <w:pStyle w:val="Normal"/>
        <w:ind w:start="270" w:end="0"/>
        <w:rPr>
          <w:color w:val="000000"/>
          <w:sz w:val="22"/>
          <w:lang w:eastAsia="en-US"/>
        </w:rPr>
      </w:pPr>
      <w:r>
        <w:rPr>
          <w:color w:val="000000"/>
          <w:sz w:val="22"/>
          <w:lang w:eastAsia="en-US"/>
        </w:rPr>
        <w:t>LVCLP performs continuous emissions monitoring.  Refer to file no. 14.1.18.2 (attached) for the emissions inventory summary report.  LVCII will also be required to perform continuous emissions monitoring.</w:t>
      </w:r>
    </w:p>
    <w:p>
      <w:pPr>
        <w:pStyle w:val="Normal"/>
        <w:ind w:start="720" w:end="0"/>
        <w:rPr>
          <w:color w:val="000000"/>
          <w:sz w:val="22"/>
          <w:lang w:eastAsia="en-US"/>
        </w:rPr>
      </w:pPr>
      <w:r>
        <w:rPr>
          <w:color w:val="000000"/>
          <w:sz w:val="22"/>
          <w:lang w:eastAsia="en-US"/>
        </w:rPr>
      </w:r>
    </w:p>
    <w:p>
      <w:pPr>
        <w:pStyle w:val="Normal"/>
        <w:rPr/>
      </w:pPr>
      <w:r>
        <w:rPr>
          <w:b/>
          <w:i/>
          <w:color w:val="000000"/>
          <w:sz w:val="22"/>
          <w:lang w:eastAsia="en-US"/>
        </w:rPr>
        <w:t>4.</w:t>
      </w:r>
      <w:r>
        <w:rPr>
          <w:color w:val="000000"/>
          <w:sz w:val="22"/>
          <w:lang w:eastAsia="en-US"/>
        </w:rPr>
        <w:t xml:space="preserve">  </w:t>
      </w:r>
      <w:r>
        <w:rPr>
          <w:b/>
          <w:i/>
          <w:color w:val="000000"/>
          <w:sz w:val="22"/>
          <w:lang w:eastAsia="en-US"/>
        </w:rPr>
        <w:t>Are the facilities FERC jurisdictional for environmental impact</w:t>
      </w:r>
    </w:p>
    <w:p>
      <w:pPr>
        <w:pStyle w:val="Normal"/>
        <w:ind w:firstLine="270" w:end="0"/>
        <w:rPr>
          <w:b/>
          <w:i/>
          <w:i/>
          <w:color w:val="000000"/>
          <w:sz w:val="22"/>
          <w:lang w:eastAsia="en-US"/>
        </w:rPr>
      </w:pPr>
      <w:r>
        <w:rPr>
          <w:b/>
          <w:i/>
          <w:color w:val="000000"/>
          <w:sz w:val="22"/>
          <w:lang w:eastAsia="en-US"/>
        </w:rPr>
        <w:t>statement purposes pursuant to 18 C.F.R. Part 380?  We noticed that the</w:t>
      </w:r>
    </w:p>
    <w:p>
      <w:pPr>
        <w:pStyle w:val="Normal"/>
        <w:ind w:firstLine="270" w:end="0"/>
        <w:rPr>
          <w:b/>
          <w:i/>
          <w:i/>
          <w:color w:val="000000"/>
          <w:sz w:val="22"/>
          <w:lang w:eastAsia="en-US"/>
        </w:rPr>
      </w:pPr>
      <w:r>
        <w:rPr>
          <w:b/>
          <w:i/>
          <w:color w:val="000000"/>
          <w:sz w:val="22"/>
          <w:lang w:eastAsia="en-US"/>
        </w:rPr>
        <w:t>only facility with information about this issue was the pipeline at</w:t>
      </w:r>
    </w:p>
    <w:p>
      <w:pPr>
        <w:pStyle w:val="Normal"/>
        <w:ind w:firstLine="270" w:end="0"/>
        <w:rPr>
          <w:b/>
          <w:i/>
          <w:i/>
          <w:color w:val="000000"/>
          <w:sz w:val="22"/>
          <w:lang w:eastAsia="en-US"/>
        </w:rPr>
      </w:pPr>
      <w:r>
        <w:rPr>
          <w:b/>
          <w:i/>
          <w:color w:val="000000"/>
          <w:sz w:val="22"/>
          <w:lang w:eastAsia="en-US"/>
        </w:rPr>
        <w:t>Lincoln, although the information seemed to suggest that only the pipeline</w:t>
      </w:r>
    </w:p>
    <w:p>
      <w:pPr>
        <w:pStyle w:val="Normal"/>
        <w:ind w:firstLine="270" w:end="0"/>
        <w:rPr>
          <w:b/>
          <w:i/>
          <w:i/>
          <w:color w:val="000000"/>
          <w:sz w:val="22"/>
          <w:lang w:eastAsia="en-US"/>
        </w:rPr>
      </w:pPr>
      <w:r>
        <w:rPr>
          <w:b/>
          <w:i/>
          <w:color w:val="000000"/>
          <w:sz w:val="22"/>
          <w:lang w:eastAsia="en-US"/>
        </w:rPr>
        <w:t>was subject to the EIS process.  See 2.02.12.G.  Was the rest of the</w:t>
      </w:r>
    </w:p>
    <w:p>
      <w:pPr>
        <w:pStyle w:val="Normal"/>
        <w:ind w:firstLine="270" w:end="0"/>
        <w:rPr>
          <w:b/>
          <w:i/>
          <w:i/>
          <w:color w:val="000000"/>
          <w:sz w:val="22"/>
          <w:lang w:eastAsia="en-US"/>
        </w:rPr>
      </w:pPr>
      <w:r>
        <w:rPr>
          <w:b/>
          <w:i/>
          <w:color w:val="000000"/>
          <w:sz w:val="22"/>
          <w:lang w:eastAsia="en-US"/>
        </w:rPr>
        <w:t>Lincoln facility subject to the EIS process?  What was the outcome of the</w:t>
      </w:r>
    </w:p>
    <w:p>
      <w:pPr>
        <w:pStyle w:val="Normal"/>
        <w:ind w:firstLine="270" w:end="0"/>
        <w:rPr>
          <w:b/>
          <w:i/>
          <w:i/>
          <w:color w:val="000000"/>
          <w:sz w:val="22"/>
          <w:lang w:eastAsia="en-US"/>
        </w:rPr>
      </w:pPr>
      <w:r>
        <w:rPr>
          <w:b/>
          <w:i/>
          <w:color w:val="000000"/>
          <w:sz w:val="22"/>
          <w:lang w:eastAsia="en-US"/>
        </w:rPr>
        <w:t>EIS process for the pipeline?</w:t>
      </w:r>
    </w:p>
    <w:p>
      <w:pPr>
        <w:pStyle w:val="Normal"/>
        <w:rPr>
          <w:b/>
          <w:i/>
          <w:i/>
          <w:color w:val="000000"/>
          <w:sz w:val="22"/>
          <w:lang w:eastAsia="en-US"/>
        </w:rPr>
      </w:pPr>
      <w:r>
        <w:rPr>
          <w:b/>
          <w:i/>
          <w:color w:val="000000"/>
          <w:sz w:val="22"/>
          <w:lang w:eastAsia="en-US"/>
        </w:rPr>
      </w:r>
    </w:p>
    <w:p>
      <w:pPr>
        <w:pStyle w:val="Normal"/>
        <w:ind w:start="270" w:end="0"/>
        <w:rPr>
          <w:color w:val="000000"/>
          <w:sz w:val="22"/>
          <w:lang w:eastAsia="en-US"/>
        </w:rPr>
      </w:pPr>
      <w:r>
        <w:rPr>
          <w:color w:val="000000"/>
          <w:sz w:val="22"/>
          <w:lang w:eastAsia="en-US"/>
        </w:rPr>
        <w:t>No.</w:t>
      </w:r>
      <w:r>
        <w:br w:type="page"/>
      </w:r>
    </w:p>
    <w:p>
      <w:pPr>
        <w:pStyle w:val="Normal"/>
        <w:ind w:start="720" w:end="0"/>
        <w:rPr>
          <w:color w:val="000000"/>
          <w:sz w:val="22"/>
          <w:lang w:eastAsia="en-US"/>
        </w:rPr>
      </w:pPr>
      <w:r>
        <w:rPr>
          <w:color w:val="000000"/>
          <w:sz w:val="22"/>
          <w:lang w:eastAsia="en-US"/>
        </w:rPr>
      </w:r>
    </w:p>
    <w:p>
      <w:pPr>
        <w:pStyle w:val="Normal"/>
        <w:rPr/>
      </w:pPr>
      <w:r>
        <w:rPr>
          <w:b/>
          <w:i/>
          <w:color w:val="000000"/>
          <w:sz w:val="22"/>
          <w:lang w:eastAsia="en-US"/>
        </w:rPr>
        <w:t>5.</w:t>
      </w:r>
      <w:r>
        <w:rPr>
          <w:color w:val="000000"/>
          <w:sz w:val="22"/>
          <w:lang w:eastAsia="en-US"/>
        </w:rPr>
        <w:t xml:space="preserve">  </w:t>
      </w:r>
      <w:r>
        <w:rPr>
          <w:b/>
          <w:i/>
          <w:color w:val="000000"/>
          <w:sz w:val="22"/>
          <w:lang w:eastAsia="en-US"/>
        </w:rPr>
        <w:t>What is Enron's understanding of the process required to transfer the</w:t>
      </w:r>
    </w:p>
    <w:p>
      <w:pPr>
        <w:pStyle w:val="Normal"/>
        <w:ind w:firstLine="270" w:end="0"/>
        <w:rPr>
          <w:b/>
          <w:i/>
          <w:i/>
          <w:color w:val="000000"/>
          <w:sz w:val="22"/>
          <w:lang w:eastAsia="en-US"/>
        </w:rPr>
      </w:pPr>
      <w:r>
        <w:rPr>
          <w:b/>
          <w:i/>
          <w:color w:val="000000"/>
          <w:sz w:val="22"/>
          <w:lang w:eastAsia="en-US"/>
        </w:rPr>
        <w:t>environmental permits for each facility in connection with the proposed</w:t>
      </w:r>
    </w:p>
    <w:p>
      <w:pPr>
        <w:pStyle w:val="Normal"/>
        <w:ind w:firstLine="270" w:end="0"/>
        <w:rPr>
          <w:b/>
          <w:i/>
          <w:i/>
          <w:color w:val="000000"/>
          <w:sz w:val="22"/>
          <w:lang w:eastAsia="en-US"/>
        </w:rPr>
      </w:pPr>
      <w:r>
        <w:rPr>
          <w:b/>
          <w:i/>
          <w:color w:val="000000"/>
          <w:sz w:val="22"/>
          <w:lang w:eastAsia="en-US"/>
        </w:rPr>
        <w:t>transaction?  For example, the 1995 stormwater permit for LV Cogen appears</w:t>
      </w:r>
    </w:p>
    <w:p>
      <w:pPr>
        <w:pStyle w:val="Normal"/>
        <w:ind w:firstLine="270" w:end="0"/>
        <w:rPr>
          <w:b/>
          <w:i/>
          <w:i/>
          <w:color w:val="000000"/>
          <w:sz w:val="22"/>
          <w:lang w:eastAsia="en-US"/>
        </w:rPr>
      </w:pPr>
      <w:r>
        <w:rPr>
          <w:b/>
          <w:i/>
          <w:color w:val="000000"/>
          <w:sz w:val="22"/>
          <w:lang w:eastAsia="en-US"/>
        </w:rPr>
        <w:t>to be triggered by a change in control of the facility.  See 6.02.03 at</w:t>
      </w:r>
    </w:p>
    <w:p>
      <w:pPr>
        <w:pStyle w:val="Normal"/>
        <w:ind w:firstLine="270" w:end="0"/>
        <w:rPr>
          <w:b/>
          <w:i/>
          <w:i/>
          <w:color w:val="000000"/>
          <w:sz w:val="22"/>
          <w:lang w:eastAsia="en-US"/>
        </w:rPr>
      </w:pPr>
      <w:r>
        <w:rPr>
          <w:b/>
          <w:i/>
          <w:color w:val="000000"/>
          <w:sz w:val="22"/>
          <w:lang w:eastAsia="en-US"/>
        </w:rPr>
        <w:t>page 16.  Do other permits have similar provisions?</w:t>
      </w:r>
    </w:p>
    <w:p>
      <w:pPr>
        <w:pStyle w:val="Normal"/>
        <w:ind w:start="270" w:end="0"/>
        <w:rPr>
          <w:b/>
          <w:i/>
          <w:i/>
          <w:color w:val="000000"/>
          <w:sz w:val="22"/>
          <w:lang w:eastAsia="en-US"/>
        </w:rPr>
      </w:pPr>
      <w:r>
        <w:rPr>
          <w:b/>
          <w:i/>
          <w:color w:val="000000"/>
          <w:sz w:val="22"/>
          <w:lang w:eastAsia="en-US"/>
        </w:rPr>
      </w:r>
    </w:p>
    <w:p>
      <w:pPr>
        <w:pStyle w:val="Normal"/>
        <w:ind w:start="270" w:end="0"/>
        <w:rPr>
          <w:color w:val="000000"/>
          <w:sz w:val="22"/>
          <w:lang w:eastAsia="en-US"/>
        </w:rPr>
      </w:pPr>
      <w:r>
        <w:rPr>
          <w:color w:val="000000"/>
          <w:sz w:val="22"/>
          <w:lang w:eastAsia="en-US"/>
        </w:rPr>
        <w:t>The air permit and stormwater permit require notice and consent in the event of a change in control. The draft air permit, section A, item 11 describes the process to change control.  The stormwater permit change in control information is described in section B.2.  The discharge permit does not require notification in the event of change in control.</w:t>
      </w:r>
    </w:p>
    <w:p>
      <w:pPr>
        <w:pStyle w:val="Normal"/>
        <w:ind w:start="270" w:end="0"/>
        <w:rPr>
          <w:color w:val="000000"/>
          <w:sz w:val="22"/>
          <w:lang w:eastAsia="en-US"/>
        </w:rPr>
      </w:pPr>
      <w:r>
        <w:rPr>
          <w:color w:val="000000"/>
          <w:sz w:val="22"/>
          <w:lang w:eastAsia="en-US"/>
        </w:rPr>
      </w:r>
    </w:p>
    <w:p>
      <w:pPr>
        <w:pStyle w:val="Normal"/>
        <w:rPr/>
      </w:pPr>
      <w:r>
        <w:rPr>
          <w:b/>
          <w:i/>
          <w:color w:val="000000"/>
          <w:sz w:val="22"/>
          <w:lang w:eastAsia="en-US"/>
        </w:rPr>
        <w:t>6.</w:t>
      </w:r>
      <w:r>
        <w:rPr>
          <w:color w:val="000000"/>
          <w:sz w:val="22"/>
          <w:lang w:eastAsia="en-US"/>
        </w:rPr>
        <w:t xml:space="preserve">  </w:t>
      </w:r>
      <w:r>
        <w:rPr>
          <w:b/>
          <w:i/>
          <w:color w:val="000000"/>
          <w:sz w:val="22"/>
          <w:lang w:eastAsia="en-US"/>
        </w:rPr>
        <w:t>Will any environmental property transfer or comparable statutes (e.g.</w:t>
      </w:r>
    </w:p>
    <w:p>
      <w:pPr>
        <w:pStyle w:val="Normal"/>
        <w:ind w:firstLine="270" w:end="0"/>
        <w:rPr>
          <w:b/>
          <w:i/>
          <w:i/>
          <w:color w:val="000000"/>
          <w:sz w:val="22"/>
          <w:lang w:eastAsia="en-US"/>
        </w:rPr>
      </w:pPr>
      <w:r>
        <w:rPr>
          <w:b/>
          <w:i/>
          <w:color w:val="000000"/>
          <w:sz w:val="22"/>
          <w:lang w:eastAsia="en-US"/>
        </w:rPr>
        <w:t>the Illinois Responsible Property Transfer Act) be triggered by the</w:t>
      </w:r>
    </w:p>
    <w:p>
      <w:pPr>
        <w:pStyle w:val="Normal"/>
        <w:ind w:firstLine="270" w:end="0"/>
        <w:rPr>
          <w:b/>
          <w:i/>
          <w:i/>
          <w:color w:val="000000"/>
          <w:sz w:val="22"/>
          <w:lang w:eastAsia="en-US"/>
        </w:rPr>
      </w:pPr>
      <w:r>
        <w:rPr>
          <w:b/>
          <w:i/>
          <w:color w:val="000000"/>
          <w:sz w:val="22"/>
          <w:lang w:eastAsia="en-US"/>
        </w:rPr>
        <w:t>proposed transaction?</w:t>
      </w:r>
    </w:p>
    <w:p>
      <w:pPr>
        <w:pStyle w:val="Normal"/>
        <w:ind w:start="720" w:end="0"/>
        <w:rPr>
          <w:b/>
          <w:i/>
          <w:i/>
          <w:color w:val="000000"/>
          <w:sz w:val="22"/>
          <w:lang w:eastAsia="en-US"/>
        </w:rPr>
      </w:pPr>
      <w:r>
        <w:rPr>
          <w:b/>
          <w:i/>
          <w:color w:val="000000"/>
          <w:sz w:val="22"/>
          <w:lang w:eastAsia="en-US"/>
        </w:rPr>
      </w:r>
    </w:p>
    <w:p>
      <w:pPr>
        <w:pStyle w:val="Normal"/>
        <w:ind w:start="270" w:end="0"/>
        <w:rPr>
          <w:color w:val="000000"/>
          <w:sz w:val="22"/>
          <w:lang w:eastAsia="en-US"/>
        </w:rPr>
      </w:pPr>
      <w:r>
        <w:rPr>
          <w:color w:val="000000"/>
          <w:sz w:val="22"/>
          <w:lang w:eastAsia="en-US"/>
        </w:rPr>
        <w:t xml:space="preserve">Not applicable in the State of Nevada. </w:t>
      </w:r>
    </w:p>
    <w:p>
      <w:pPr>
        <w:pStyle w:val="Normal"/>
        <w:ind w:start="270" w:end="0"/>
        <w:rPr>
          <w:color w:val="000000"/>
          <w:sz w:val="22"/>
          <w:lang w:eastAsia="en-US"/>
        </w:rPr>
      </w:pPr>
      <w:r>
        <w:rPr>
          <w:color w:val="000000"/>
          <w:sz w:val="22"/>
          <w:lang w:eastAsia="en-US"/>
        </w:rPr>
      </w:r>
    </w:p>
    <w:p>
      <w:pPr>
        <w:pStyle w:val="Normal"/>
        <w:rPr/>
      </w:pPr>
      <w:r>
        <w:rPr>
          <w:b/>
          <w:i/>
          <w:color w:val="000000"/>
          <w:sz w:val="22"/>
          <w:lang w:eastAsia="en-US"/>
        </w:rPr>
        <w:t>7.</w:t>
      </w:r>
      <w:r>
        <w:rPr>
          <w:color w:val="000000"/>
          <w:sz w:val="22"/>
          <w:lang w:eastAsia="en-US"/>
        </w:rPr>
        <w:t xml:space="preserve"> </w:t>
      </w:r>
      <w:r>
        <w:rPr>
          <w:b/>
          <w:i/>
          <w:color w:val="000000"/>
          <w:sz w:val="22"/>
          <w:lang w:eastAsia="en-US"/>
        </w:rPr>
        <w:t>We have reviewed the United States Environmental Protection Agency</w:t>
      </w:r>
    </w:p>
    <w:p>
      <w:pPr>
        <w:pStyle w:val="Normal"/>
        <w:ind w:firstLine="270" w:end="0"/>
        <w:rPr>
          <w:b/>
          <w:i/>
          <w:i/>
          <w:color w:val="000000"/>
          <w:sz w:val="22"/>
          <w:lang w:eastAsia="en-US"/>
        </w:rPr>
      </w:pPr>
      <w:r>
        <w:rPr>
          <w:b/>
          <w:i/>
          <w:color w:val="000000"/>
          <w:sz w:val="22"/>
          <w:lang w:eastAsia="en-US"/>
        </w:rPr>
        <w:t>comments for the air permit at LV Cogen II, as discussed below.  Did U.S.</w:t>
      </w:r>
    </w:p>
    <w:p>
      <w:pPr>
        <w:pStyle w:val="Normal"/>
        <w:ind w:firstLine="270" w:end="0"/>
        <w:rPr>
          <w:b/>
          <w:i/>
          <w:i/>
          <w:color w:val="000000"/>
          <w:sz w:val="22"/>
          <w:lang w:eastAsia="en-US"/>
        </w:rPr>
      </w:pPr>
      <w:r>
        <w:rPr>
          <w:b/>
          <w:i/>
          <w:color w:val="000000"/>
          <w:sz w:val="22"/>
          <w:lang w:eastAsia="en-US"/>
        </w:rPr>
        <w:t>EPA provide any additional comments on the air permits for LV Cogen II or</w:t>
      </w:r>
    </w:p>
    <w:p>
      <w:pPr>
        <w:pStyle w:val="Normal"/>
        <w:ind w:firstLine="270" w:end="0"/>
        <w:rPr>
          <w:b/>
          <w:i/>
          <w:i/>
          <w:color w:val="000000"/>
          <w:sz w:val="22"/>
          <w:lang w:eastAsia="en-US"/>
        </w:rPr>
      </w:pPr>
      <w:r>
        <w:rPr>
          <w:b/>
          <w:i/>
          <w:color w:val="000000"/>
          <w:sz w:val="22"/>
          <w:lang w:eastAsia="en-US"/>
        </w:rPr>
        <w:t>any other facility?</w:t>
      </w:r>
    </w:p>
    <w:p>
      <w:pPr>
        <w:pStyle w:val="Normal"/>
        <w:ind w:start="270" w:end="0"/>
        <w:rPr>
          <w:b/>
          <w:i/>
          <w:i/>
          <w:color w:val="000000"/>
          <w:sz w:val="22"/>
          <w:lang w:eastAsia="en-US"/>
        </w:rPr>
      </w:pPr>
      <w:r>
        <w:rPr>
          <w:b/>
          <w:i/>
          <w:color w:val="000000"/>
          <w:sz w:val="22"/>
          <w:lang w:eastAsia="en-US"/>
        </w:rPr>
      </w:r>
    </w:p>
    <w:p>
      <w:pPr>
        <w:pStyle w:val="Normal"/>
        <w:ind w:start="270" w:end="0"/>
        <w:rPr>
          <w:color w:val="000000"/>
          <w:sz w:val="22"/>
          <w:lang w:eastAsia="en-US"/>
        </w:rPr>
      </w:pPr>
      <w:r>
        <w:rPr>
          <w:color w:val="000000"/>
          <w:sz w:val="22"/>
          <w:lang w:eastAsia="en-US"/>
        </w:rPr>
        <w:t>The only EPA comments on the draft air permit for LVCII were those provided to Clark County on September 28, 2000.</w:t>
      </w:r>
    </w:p>
    <w:p>
      <w:pPr>
        <w:pStyle w:val="Normal"/>
        <w:ind w:start="720" w:end="0"/>
        <w:rPr>
          <w:color w:val="000000"/>
          <w:sz w:val="22"/>
          <w:lang w:eastAsia="en-US"/>
        </w:rPr>
      </w:pPr>
      <w:r>
        <w:rPr>
          <w:color w:val="000000"/>
          <w:sz w:val="22"/>
          <w:lang w:eastAsia="en-US"/>
        </w:rPr>
      </w:r>
    </w:p>
    <w:p>
      <w:pPr>
        <w:pStyle w:val="Heading1"/>
        <w:ind w:hanging="0" w:start="0"/>
        <w:rPr/>
      </w:pPr>
      <w:r>
        <w:rPr/>
        <w:t>LV Cogen</w:t>
      </w:r>
    </w:p>
    <w:p>
      <w:pPr>
        <w:pStyle w:val="Normal"/>
        <w:rPr>
          <w:color w:val="000000"/>
          <w:sz w:val="22"/>
          <w:lang w:eastAsia="en-US"/>
        </w:rPr>
      </w:pPr>
      <w:r>
        <w:rPr>
          <w:color w:val="000000"/>
          <w:sz w:val="22"/>
          <w:lang w:eastAsia="en-US"/>
        </w:rPr>
      </w:r>
    </w:p>
    <w:p>
      <w:pPr>
        <w:pStyle w:val="Normal"/>
        <w:rPr/>
      </w:pPr>
      <w:r>
        <w:rPr>
          <w:b/>
          <w:i/>
          <w:color w:val="000000"/>
          <w:sz w:val="22"/>
          <w:lang w:eastAsia="en-US"/>
        </w:rPr>
        <w:t>1.</w:t>
      </w:r>
      <w:r>
        <w:rPr>
          <w:color w:val="000000"/>
          <w:sz w:val="22"/>
          <w:lang w:eastAsia="en-US"/>
        </w:rPr>
        <w:t xml:space="preserve">  </w:t>
      </w:r>
      <w:r>
        <w:rPr>
          <w:b/>
          <w:i/>
          <w:color w:val="000000"/>
          <w:sz w:val="22"/>
          <w:lang w:eastAsia="en-US"/>
        </w:rPr>
        <w:t>The Industrial User Discharge Permit on Dealbench appears to have</w:t>
      </w:r>
    </w:p>
    <w:p>
      <w:pPr>
        <w:pStyle w:val="Normal"/>
        <w:ind w:firstLine="270" w:end="0"/>
        <w:rPr>
          <w:b/>
          <w:i/>
          <w:i/>
          <w:color w:val="000000"/>
          <w:sz w:val="22"/>
          <w:lang w:eastAsia="en-US"/>
        </w:rPr>
      </w:pPr>
      <w:r>
        <w:rPr>
          <w:b/>
          <w:i/>
          <w:color w:val="000000"/>
          <w:sz w:val="22"/>
          <w:lang w:eastAsia="en-US"/>
        </w:rPr>
        <w:t>expired on July 1, 2000.  See 6.02.02.  Was it renewed?  If so, please</w:t>
      </w:r>
    </w:p>
    <w:p>
      <w:pPr>
        <w:pStyle w:val="Normal"/>
        <w:ind w:firstLine="270" w:end="0"/>
        <w:rPr>
          <w:color w:val="000000"/>
          <w:sz w:val="22"/>
          <w:lang w:eastAsia="en-US"/>
        </w:rPr>
      </w:pPr>
      <w:r>
        <w:rPr>
          <w:b/>
          <w:i/>
          <w:color w:val="000000"/>
          <w:sz w:val="22"/>
          <w:lang w:eastAsia="en-US"/>
        </w:rPr>
        <w:t>provide copy.</w:t>
      </w:r>
    </w:p>
    <w:p>
      <w:pPr>
        <w:pStyle w:val="Normal"/>
        <w:ind w:start="720" w:end="0"/>
        <w:rPr>
          <w:color w:val="000000"/>
          <w:sz w:val="22"/>
          <w:lang w:eastAsia="en-US"/>
        </w:rPr>
      </w:pPr>
      <w:r>
        <w:rPr>
          <w:color w:val="000000"/>
          <w:sz w:val="22"/>
          <w:lang w:eastAsia="en-US"/>
        </w:rPr>
      </w:r>
    </w:p>
    <w:p>
      <w:pPr>
        <w:pStyle w:val="Normal"/>
        <w:ind w:start="270" w:end="0"/>
        <w:rPr>
          <w:color w:val="000000"/>
          <w:sz w:val="22"/>
          <w:lang w:eastAsia="en-US"/>
        </w:rPr>
      </w:pPr>
      <w:r>
        <w:rPr>
          <w:color w:val="000000"/>
          <w:sz w:val="22"/>
          <w:lang w:eastAsia="en-US"/>
        </w:rPr>
        <w:t>Refer to attached file 6.2.2.5.</w:t>
      </w:r>
    </w:p>
    <w:p>
      <w:pPr>
        <w:pStyle w:val="Normal"/>
        <w:ind w:start="720" w:end="0"/>
        <w:rPr>
          <w:color w:val="000000"/>
          <w:sz w:val="22"/>
          <w:lang w:eastAsia="en-US"/>
        </w:rPr>
      </w:pPr>
      <w:r>
        <w:rPr>
          <w:color w:val="000000"/>
          <w:sz w:val="22"/>
          <w:lang w:eastAsia="en-US"/>
        </w:rPr>
      </w:r>
    </w:p>
    <w:p>
      <w:pPr>
        <w:pStyle w:val="Normal"/>
        <w:rPr>
          <w:b/>
          <w:i/>
          <w:i/>
          <w:color w:val="000000"/>
          <w:sz w:val="22"/>
          <w:lang w:eastAsia="en-US"/>
        </w:rPr>
      </w:pPr>
      <w:r>
        <w:rPr>
          <w:b/>
          <w:i/>
          <w:color w:val="000000"/>
          <w:sz w:val="22"/>
          <w:lang w:eastAsia="en-US"/>
        </w:rPr>
        <w:t>2.  The stormwater discharge permit for LV Cogen appears to be expired.</w:t>
      </w:r>
    </w:p>
    <w:p>
      <w:pPr>
        <w:pStyle w:val="Normal"/>
        <w:ind w:firstLine="270" w:end="0"/>
        <w:rPr>
          <w:color w:val="000000"/>
          <w:sz w:val="22"/>
          <w:lang w:eastAsia="en-US"/>
        </w:rPr>
      </w:pPr>
      <w:r>
        <w:rPr>
          <w:b/>
          <w:i/>
          <w:color w:val="000000"/>
          <w:sz w:val="22"/>
          <w:lang w:eastAsia="en-US"/>
        </w:rPr>
        <w:t>See 06.02.03.  Was it renewed?  If so, please provide copy.</w:t>
      </w:r>
    </w:p>
    <w:p>
      <w:pPr>
        <w:pStyle w:val="Normal"/>
        <w:ind w:start="720" w:end="0"/>
        <w:rPr>
          <w:color w:val="000000"/>
          <w:sz w:val="22"/>
          <w:lang w:eastAsia="en-US"/>
        </w:rPr>
      </w:pPr>
      <w:r>
        <w:rPr>
          <w:color w:val="000000"/>
          <w:sz w:val="22"/>
          <w:lang w:eastAsia="en-US"/>
        </w:rPr>
      </w:r>
    </w:p>
    <w:p>
      <w:pPr>
        <w:pStyle w:val="Normal"/>
        <w:ind w:start="270" w:end="0"/>
        <w:rPr>
          <w:color w:val="000000"/>
          <w:sz w:val="22"/>
          <w:lang w:eastAsia="en-US"/>
        </w:rPr>
      </w:pPr>
      <w:r>
        <w:rPr>
          <w:color w:val="000000"/>
          <w:sz w:val="22"/>
          <w:lang w:eastAsia="en-US"/>
        </w:rPr>
        <w:t>The agency is behind in issuing the new permit. The agency requested LVCLP to pay the fee and submit the annual report and verbally acknowledged that the permit would continue to be in effect.  LVCLP met the requirements.  Refer to the attached file no. 6.2.3.1 for the Notice of Intent and payment statement to the Bureau of Water Pollution Control.</w:t>
      </w:r>
    </w:p>
    <w:p>
      <w:pPr>
        <w:pStyle w:val="Normal"/>
        <w:ind w:start="720" w:end="0"/>
        <w:rPr>
          <w:color w:val="000000"/>
          <w:sz w:val="22"/>
          <w:lang w:eastAsia="en-US"/>
        </w:rPr>
      </w:pPr>
      <w:r>
        <w:rPr>
          <w:color w:val="000000"/>
          <w:sz w:val="22"/>
          <w:lang w:eastAsia="en-US"/>
        </w:rPr>
      </w:r>
    </w:p>
    <w:p>
      <w:pPr>
        <w:pStyle w:val="Normal"/>
        <w:rPr/>
      </w:pPr>
      <w:r>
        <w:rPr>
          <w:b/>
          <w:i/>
          <w:color w:val="000000"/>
          <w:sz w:val="22"/>
          <w:lang w:eastAsia="en-US"/>
        </w:rPr>
        <w:t>3.</w:t>
      </w:r>
      <w:r>
        <w:rPr>
          <w:color w:val="000000"/>
          <w:sz w:val="22"/>
          <w:lang w:eastAsia="en-US"/>
        </w:rPr>
        <w:t xml:space="preserve">  </w:t>
      </w:r>
      <w:r>
        <w:rPr>
          <w:b/>
          <w:i/>
          <w:color w:val="000000"/>
          <w:sz w:val="22"/>
          <w:lang w:eastAsia="en-US"/>
        </w:rPr>
        <w:t>Does Sunco hold any environmental permits in its own name?  If so,</w:t>
      </w:r>
    </w:p>
    <w:p>
      <w:pPr>
        <w:pStyle w:val="Normal"/>
        <w:ind w:firstLine="270" w:end="0"/>
        <w:rPr>
          <w:b/>
          <w:i/>
          <w:i/>
          <w:color w:val="000000"/>
          <w:sz w:val="22"/>
          <w:lang w:eastAsia="en-US"/>
        </w:rPr>
      </w:pPr>
      <w:r>
        <w:rPr>
          <w:b/>
          <w:i/>
          <w:color w:val="000000"/>
          <w:sz w:val="22"/>
          <w:lang w:eastAsia="en-US"/>
        </w:rPr>
        <w:t>please provide copies.</w:t>
      </w:r>
    </w:p>
    <w:p>
      <w:pPr>
        <w:pStyle w:val="Normal"/>
        <w:ind w:start="720" w:end="0"/>
        <w:rPr>
          <w:b/>
          <w:i/>
          <w:i/>
          <w:color w:val="000000"/>
          <w:sz w:val="22"/>
          <w:lang w:eastAsia="en-US"/>
        </w:rPr>
      </w:pPr>
      <w:r>
        <w:rPr>
          <w:b/>
          <w:i/>
          <w:color w:val="000000"/>
          <w:sz w:val="22"/>
          <w:lang w:eastAsia="en-US"/>
        </w:rPr>
      </w:r>
    </w:p>
    <w:p>
      <w:pPr>
        <w:pStyle w:val="Normal"/>
        <w:ind w:start="270" w:end="0"/>
        <w:rPr>
          <w:color w:val="000000"/>
          <w:sz w:val="22"/>
          <w:lang w:eastAsia="en-US"/>
        </w:rPr>
      </w:pPr>
      <w:r>
        <w:rPr>
          <w:color w:val="000000"/>
          <w:sz w:val="22"/>
          <w:lang w:eastAsia="en-US"/>
        </w:rPr>
        <w:t>Sunco does not hold environmental permits it its own name.</w:t>
      </w:r>
    </w:p>
    <w:p>
      <w:pPr>
        <w:pStyle w:val="Normal"/>
        <w:ind w:start="720" w:end="0"/>
        <w:rPr>
          <w:color w:val="000000"/>
          <w:sz w:val="22"/>
          <w:lang w:eastAsia="en-US"/>
        </w:rPr>
      </w:pPr>
      <w:r>
        <w:rPr>
          <w:color w:val="000000"/>
          <w:sz w:val="22"/>
          <w:lang w:eastAsia="en-US"/>
        </w:rPr>
      </w:r>
    </w:p>
    <w:p>
      <w:pPr>
        <w:pStyle w:val="Normal"/>
        <w:ind w:start="720" w:end="0"/>
        <w:rPr>
          <w:color w:val="000000"/>
          <w:sz w:val="22"/>
          <w:lang w:eastAsia="en-US"/>
        </w:rPr>
      </w:pPr>
      <w:r>
        <w:rPr>
          <w:color w:val="000000"/>
          <w:sz w:val="22"/>
          <w:lang w:eastAsia="en-US"/>
        </w:rPr>
      </w:r>
    </w:p>
    <w:p>
      <w:pPr>
        <w:pStyle w:val="Heading1"/>
        <w:ind w:hanging="0" w:start="0"/>
        <w:rPr/>
      </w:pPr>
      <w:r>
        <w:rPr/>
        <w:t>LV Cogen II</w:t>
      </w:r>
    </w:p>
    <w:p>
      <w:pPr>
        <w:pStyle w:val="Normal"/>
        <w:rPr>
          <w:color w:val="000000"/>
          <w:sz w:val="22"/>
          <w:lang w:eastAsia="en-US"/>
        </w:rPr>
      </w:pPr>
      <w:r>
        <w:rPr>
          <w:color w:val="000000"/>
          <w:sz w:val="22"/>
          <w:lang w:eastAsia="en-US"/>
        </w:rPr>
      </w:r>
    </w:p>
    <w:p>
      <w:pPr>
        <w:pStyle w:val="Normal"/>
        <w:rPr/>
      </w:pPr>
      <w:r>
        <w:rPr>
          <w:b/>
          <w:i/>
          <w:color w:val="000000"/>
          <w:sz w:val="22"/>
          <w:lang w:eastAsia="en-US"/>
        </w:rPr>
        <w:t>1.</w:t>
      </w:r>
      <w:r>
        <w:rPr>
          <w:color w:val="000000"/>
          <w:sz w:val="22"/>
          <w:lang w:eastAsia="en-US"/>
        </w:rPr>
        <w:t xml:space="preserve">  </w:t>
      </w:r>
      <w:r>
        <w:rPr>
          <w:b/>
          <w:i/>
          <w:color w:val="000000"/>
          <w:sz w:val="22"/>
          <w:lang w:eastAsia="en-US"/>
        </w:rPr>
        <w:t>EPA contends in its March 23, 1998 and March 24, 2000 letters that BACT</w:t>
      </w:r>
    </w:p>
    <w:p>
      <w:pPr>
        <w:pStyle w:val="Normal"/>
        <w:ind w:firstLine="270" w:end="0"/>
        <w:rPr>
          <w:b/>
          <w:i/>
          <w:i/>
          <w:color w:val="000000"/>
          <w:sz w:val="22"/>
          <w:lang w:eastAsia="en-US"/>
        </w:rPr>
      </w:pPr>
      <w:r>
        <w:rPr>
          <w:b/>
          <w:i/>
          <w:color w:val="000000"/>
          <w:sz w:val="22"/>
          <w:lang w:eastAsia="en-US"/>
        </w:rPr>
        <w:t>for LV Cogen II was SCONOx and/or XONON.  See 06.01.09.1.   How was this</w:t>
      </w:r>
    </w:p>
    <w:p>
      <w:pPr>
        <w:pStyle w:val="Normal"/>
        <w:ind w:firstLine="270" w:end="0"/>
        <w:rPr>
          <w:b/>
          <w:i/>
          <w:i/>
          <w:color w:val="000000"/>
          <w:sz w:val="22"/>
          <w:lang w:eastAsia="en-US"/>
        </w:rPr>
      </w:pPr>
      <w:r>
        <w:rPr>
          <w:b/>
          <w:i/>
          <w:color w:val="000000"/>
          <w:sz w:val="22"/>
          <w:lang w:eastAsia="en-US"/>
        </w:rPr>
        <w:t>issue resolved?  Can LV Cogen II meet the 2 ppm NOx limit in the draft</w:t>
      </w:r>
    </w:p>
    <w:p>
      <w:pPr>
        <w:pStyle w:val="Normal"/>
        <w:ind w:firstLine="270" w:end="0"/>
        <w:rPr>
          <w:b/>
          <w:i/>
          <w:i/>
          <w:color w:val="000000"/>
          <w:sz w:val="22"/>
          <w:lang w:eastAsia="en-US"/>
        </w:rPr>
      </w:pPr>
      <w:r>
        <w:rPr>
          <w:b/>
          <w:i/>
          <w:color w:val="000000"/>
          <w:sz w:val="22"/>
          <w:lang w:eastAsia="en-US"/>
        </w:rPr>
        <w:t>operating permit with the technology that has been proposed?  See 06.01.15.</w:t>
      </w:r>
    </w:p>
    <w:p>
      <w:pPr>
        <w:pStyle w:val="Normal"/>
        <w:ind w:start="270" w:end="0"/>
        <w:rPr>
          <w:b/>
          <w:i/>
          <w:i/>
          <w:color w:val="000000"/>
          <w:sz w:val="22"/>
          <w:lang w:eastAsia="en-US"/>
        </w:rPr>
      </w:pPr>
      <w:r>
        <w:rPr>
          <w:b/>
          <w:i/>
          <w:color w:val="000000"/>
          <w:sz w:val="22"/>
          <w:lang w:eastAsia="en-US"/>
        </w:rPr>
      </w:r>
    </w:p>
    <w:p>
      <w:pPr>
        <w:pStyle w:val="Normal"/>
        <w:ind w:start="270" w:end="0"/>
        <w:rPr>
          <w:color w:val="000000"/>
          <w:sz w:val="22"/>
          <w:lang w:eastAsia="en-US"/>
        </w:rPr>
      </w:pPr>
      <w:r>
        <w:rPr>
          <w:color w:val="000000"/>
          <w:sz w:val="22"/>
          <w:lang w:eastAsia="en-US"/>
        </w:rPr>
        <w:t>A BACT analysis of the SCONOX and enhanced SCR technologies was completed for Clark County APCD.  XONOX was not reviewed in detail because it could not match the emission rates of the other technologies.  The extra space needed to use SCONOX was a consideration in SCONOX’s elimination due to the constrained site.  The BACT analysis showed that enhanced SCR was BACT for the project.  The APCD agreed with the determination.</w:t>
      </w:r>
    </w:p>
    <w:p>
      <w:pPr>
        <w:pStyle w:val="Normal"/>
        <w:ind w:start="270" w:end="0"/>
        <w:rPr>
          <w:color w:val="000000"/>
          <w:sz w:val="22"/>
          <w:lang w:eastAsia="en-US"/>
        </w:rPr>
      </w:pPr>
      <w:r>
        <w:rPr>
          <w:color w:val="000000"/>
          <w:sz w:val="22"/>
          <w:lang w:eastAsia="en-US"/>
        </w:rPr>
      </w:r>
    </w:p>
    <w:p>
      <w:pPr>
        <w:pStyle w:val="Normal"/>
        <w:ind w:start="270" w:end="0"/>
        <w:rPr>
          <w:color w:val="000000"/>
          <w:sz w:val="22"/>
          <w:lang w:eastAsia="en-US"/>
        </w:rPr>
      </w:pPr>
      <w:r>
        <w:rPr>
          <w:color w:val="000000"/>
          <w:sz w:val="22"/>
          <w:lang w:eastAsia="en-US"/>
        </w:rPr>
        <w:t>Design studies indicate that LVCII can meet the NOx limit.  Based on GE’s guarantee of 30 ppm NOx from the gas turbine, a SCR efficiency of 94% will be required.  The HRSG manufacturers can include a catalyst bed with this efficiency and will guarantee its performance.</w:t>
      </w:r>
    </w:p>
    <w:p>
      <w:pPr>
        <w:pStyle w:val="Normal"/>
        <w:ind w:start="720" w:end="0"/>
        <w:rPr>
          <w:color w:val="000000"/>
          <w:sz w:val="22"/>
          <w:lang w:eastAsia="en-US"/>
        </w:rPr>
      </w:pPr>
      <w:r>
        <w:rPr>
          <w:color w:val="000000"/>
          <w:sz w:val="22"/>
          <w:lang w:eastAsia="en-US"/>
        </w:rPr>
      </w:r>
    </w:p>
    <w:p>
      <w:pPr>
        <w:pStyle w:val="Normal"/>
        <w:rPr/>
      </w:pPr>
      <w:r>
        <w:rPr>
          <w:b/>
          <w:i/>
          <w:color w:val="000000"/>
          <w:sz w:val="22"/>
          <w:lang w:eastAsia="en-US"/>
        </w:rPr>
        <w:t>2.</w:t>
      </w:r>
      <w:r>
        <w:rPr>
          <w:color w:val="000000"/>
          <w:sz w:val="22"/>
          <w:lang w:eastAsia="en-US"/>
        </w:rPr>
        <w:t xml:space="preserve">  </w:t>
      </w:r>
      <w:r>
        <w:rPr>
          <w:b/>
          <w:i/>
          <w:color w:val="000000"/>
          <w:sz w:val="22"/>
          <w:lang w:eastAsia="en-US"/>
        </w:rPr>
        <w:t>It appears that the State of Nevada has contended that certain</w:t>
      </w:r>
    </w:p>
    <w:p>
      <w:pPr>
        <w:pStyle w:val="BodyTextIndent"/>
        <w:rPr/>
      </w:pPr>
      <w:r>
        <w:rPr/>
        <w:t>equipment replacement should have undergone new source review in their June 13, 2000 memo.  See 16.03.6.    How was this resolved?  What is EPA's view on this issue?</w:t>
      </w:r>
    </w:p>
    <w:p>
      <w:pPr>
        <w:pStyle w:val="Normal"/>
        <w:ind w:start="270" w:end="0"/>
        <w:rPr>
          <w:color w:val="000000"/>
          <w:sz w:val="22"/>
          <w:lang w:eastAsia="en-US"/>
        </w:rPr>
      </w:pPr>
      <w:r>
        <w:rPr>
          <w:color w:val="000000"/>
          <w:sz w:val="22"/>
          <w:lang w:eastAsia="en-US"/>
        </w:rPr>
      </w:r>
    </w:p>
    <w:p>
      <w:pPr>
        <w:pStyle w:val="BodyTextIndent2"/>
        <w:rPr/>
      </w:pPr>
      <w:r>
        <w:rPr/>
        <w:t>The air district resolved the issue.  Refer to the Air Permit Technical Support Document, Executive Summary, Concern #1 on Page 4.</w:t>
      </w:r>
      <w:r>
        <w:br w:type="page"/>
      </w:r>
    </w:p>
    <w:p>
      <w:pPr>
        <w:pStyle w:val="Normal"/>
        <w:rPr>
          <w:sz w:val="22"/>
        </w:rPr>
      </w:pPr>
      <w:r>
        <w:rPr>
          <w:sz w:val="22"/>
        </w:rPr>
        <w:drawing>
          <wp:anchor behindDoc="0" distT="0" distB="0" distL="114935" distR="114935" simplePos="0" locked="0" layoutInCell="0" allowOverlap="1" relativeHeight="2">
            <wp:simplePos x="0" y="0"/>
            <wp:positionH relativeFrom="column">
              <wp:posOffset>-685800</wp:posOffset>
            </wp:positionH>
            <wp:positionV relativeFrom="paragraph">
              <wp:posOffset>-365760</wp:posOffset>
            </wp:positionV>
            <wp:extent cx="6858000" cy="74066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4" r="-3" b="-4"/>
                    <a:stretch>
                      <a:fillRect/>
                    </a:stretch>
                  </pic:blipFill>
                  <pic:spPr bwMode="auto">
                    <a:xfrm>
                      <a:off x="0" y="0"/>
                      <a:ext cx="6858000" cy="7406640"/>
                    </a:xfrm>
                    <a:prstGeom prst="rect">
                      <a:avLst/>
                    </a:prstGeom>
                    <a:noFill/>
                  </pic:spPr>
                </pic:pic>
              </a:graphicData>
            </a:graphic>
          </wp:anchor>
        </w:drawing>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4</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t>October 25, 2000</w:t>
    </w:r>
  </w:p>
  <w:p>
    <w:pPr>
      <w:pStyle w:val="Normal"/>
      <w:jc w:val="end"/>
      <w:rPr/>
    </w:pPr>
    <w:r>
      <w:rPr/>
      <w:t>LVCLP File No. 16.15.11</w:t>
    </w:r>
  </w:p>
  <w:p>
    <w:pPr>
      <w:pStyle w:val="Normal"/>
      <w:jc w:val="end"/>
      <w:rPr/>
    </w:pPr>
    <w:r>
      <w:rPr/>
      <w:t>LVCII File No. 16.19.9</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color w:val="000000"/>
      <w:sz w:val="28"/>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70" w:end="0"/>
    </w:pPr>
    <w:rPr>
      <w:b/>
      <w:i/>
      <w:color w:val="000000"/>
      <w:sz w:val="22"/>
      <w:lang w:eastAsia="en-US"/>
    </w:rPr>
  </w:style>
  <w:style w:type="paragraph" w:styleId="BodyTextIndent2">
    <w:name w:val="Body Text Indent 2"/>
    <w:basedOn w:val="Normal"/>
    <w:qFormat/>
    <w:pPr>
      <w:ind w:hanging="0" w:start="270" w:end="0"/>
    </w:pPr>
    <w:rPr>
      <w:color w:val="000000"/>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2000-10-25T14:15:00Z</dcterms:created>
  <dc:creator>jblackb</dc:creator>
  <dc:description/>
  <dc:language>en-CA</dc:language>
  <cp:lastModifiedBy>jblackb</cp:lastModifiedBy>
  <cp:lastPrinted>2000-10-25T08:54:00Z</cp:lastPrinted>
  <dcterms:modified xsi:type="dcterms:W3CDTF">2000-10-25T14:15:00Z</dcterms:modified>
  <cp:revision>2</cp:revision>
  <dc:subject/>
  <dc:title>October 23, 2000</dc:title>
</cp:coreProperties>
</file>