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keepNext w:val="false"/>
        <w:keepLines w:val="false"/>
        <w:spacing w:before="0" w:after="0"/>
        <w:jc w:val="end"/>
        <w:rPr/>
      </w:pPr>
      <w:r>
        <w:rPr/>
      </w:r>
    </w:p>
    <w:p>
      <w:pPr>
        <w:pStyle w:val="Title"/>
        <w:keepNext w:val="false"/>
        <w:keepLines w:val="false"/>
        <w:spacing w:before="0" w:after="0"/>
        <w:rPr/>
      </w:pPr>
      <w:r>
        <w:rPr/>
      </w:r>
    </w:p>
    <w:p>
      <w:pPr>
        <w:pStyle w:val="Title"/>
        <w:keepNext w:val="false"/>
        <w:keepLines w:val="false"/>
        <w:spacing w:before="0" w:after="0"/>
        <w:rPr/>
      </w:pPr>
      <w:r>
        <w:rPr/>
      </w:r>
    </w:p>
    <w:p>
      <w:pPr>
        <w:pStyle w:val="Normal"/>
        <w:jc w:val="center"/>
        <w:rPr/>
      </w:pPr>
      <w:r>
        <w:rPr/>
        <w:t>ALLEGHENY ENERGY SUPPLY COMPANY, LLC</w:t>
      </w:r>
    </w:p>
    <w:p>
      <w:pPr>
        <w:pStyle w:val="Normal"/>
        <w:jc w:val="center"/>
        <w:rPr/>
      </w:pPr>
      <w:r>
        <w:rPr/>
        <w:t>Roseytown Road</w:t>
      </w:r>
    </w:p>
    <w:p>
      <w:pPr>
        <w:pStyle w:val="Normal"/>
        <w:jc w:val="center"/>
        <w:rPr/>
      </w:pPr>
      <w:r>
        <w:rPr/>
        <w:t>RR12 Box 1000</w:t>
      </w:r>
    </w:p>
    <w:p>
      <w:pPr>
        <w:pStyle w:val="Normal"/>
        <w:jc w:val="center"/>
        <w:rPr/>
      </w:pPr>
      <w:r>
        <w:rPr/>
        <w:t>Greensburg, Pennsylvania, 15601</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end"/>
        <w:rPr/>
      </w:pPr>
      <w:r>
        <w:rPr/>
        <w:t>March 16, 2001</w:t>
      </w:r>
    </w:p>
    <w:p>
      <w:pPr>
        <w:pStyle w:val="Normal"/>
        <w:rPr/>
      </w:pPr>
      <w:r>
        <w:rPr/>
      </w:r>
    </w:p>
    <w:p>
      <w:pPr>
        <w:pStyle w:val="Normal"/>
        <w:rPr/>
      </w:pPr>
      <w:r>
        <w:rPr/>
        <w:t>ENRON NORTH AMERICA, INC.</w:t>
      </w:r>
    </w:p>
    <w:p>
      <w:pPr>
        <w:pStyle w:val="Normal"/>
        <w:rPr/>
      </w:pPr>
      <w:r>
        <w:rPr/>
        <w:t>1400 Smith Street</w:t>
      </w:r>
    </w:p>
    <w:p>
      <w:pPr>
        <w:pStyle w:val="Normal"/>
        <w:rPr/>
      </w:pPr>
      <w:r>
        <w:rPr/>
        <w:t>Houston, TX  77002-7361</w:t>
      </w:r>
    </w:p>
    <w:p>
      <w:pPr>
        <w:pStyle w:val="Normal"/>
        <w:rPr/>
      </w:pPr>
      <w:r>
        <w:rPr/>
        <w:t>Attn: [Shari Stack, Senior Counsel]</w:t>
      </w:r>
    </w:p>
    <w:p>
      <w:pPr>
        <w:pStyle w:val="Normal"/>
        <w:rPr/>
      </w:pPr>
      <w:r>
        <w:rPr/>
      </w:r>
    </w:p>
    <w:p>
      <w:pPr>
        <w:pStyle w:val="Normal"/>
        <w:rPr/>
      </w:pPr>
      <w:r>
        <w:rPr/>
      </w:r>
    </w:p>
    <w:p>
      <w:pPr>
        <w:pStyle w:val="Normal"/>
        <w:rPr/>
      </w:pPr>
      <w:r>
        <w:rPr/>
      </w:r>
    </w:p>
    <w:p>
      <w:pPr>
        <w:pStyle w:val="Normal"/>
        <w:rPr/>
      </w:pPr>
      <w:r>
        <w:rPr/>
      </w:r>
    </w:p>
    <w:p>
      <w:pPr>
        <w:pStyle w:val="Normal"/>
        <w:rPr/>
      </w:pPr>
      <w:r>
        <w:rPr/>
        <w:t>Dear Sirs:</w:t>
      </w:r>
    </w:p>
    <w:p>
      <w:pPr>
        <w:pStyle w:val="Normal"/>
        <w:rPr/>
      </w:pPr>
      <w:r>
        <w:rPr/>
      </w:r>
    </w:p>
    <w:p>
      <w:pPr>
        <w:pStyle w:val="Normal"/>
        <w:ind w:firstLine="720" w:end="0"/>
        <w:rPr/>
      </w:pPr>
      <w:r>
        <w:rPr/>
        <w:t>This letter is to confirm the mutual understandings and agreements of Allegheny Energy Supply Company, LLC (“</w:t>
      </w:r>
      <w:r>
        <w:rPr>
          <w:u w:val="single"/>
        </w:rPr>
        <w:t>Supply</w:t>
      </w:r>
      <w:r>
        <w:rPr/>
        <w:t>”), Allegheny Energy Global Markets, LLC (“</w:t>
      </w:r>
      <w:r>
        <w:rPr>
          <w:u w:val="single"/>
        </w:rPr>
        <w:t>Global</w:t>
      </w:r>
      <w:r>
        <w:rPr/>
        <w:t>”), Enron North America (the “</w:t>
      </w:r>
      <w:r>
        <w:rPr>
          <w:u w:val="single"/>
        </w:rPr>
        <w:t>Counterparty</w:t>
      </w:r>
      <w:r>
        <w:rPr/>
        <w:t>”) and Enron Corp. (the “</w:t>
      </w:r>
      <w:r>
        <w:rPr>
          <w:u w:val="single"/>
        </w:rPr>
        <w:t>Guarantor</w:t>
      </w:r>
      <w:r>
        <w:rPr/>
        <w:t>”) regarding certain terms and conditions applicable to transactions between them which are subject to an ISDA Master Agreement (Multicurrency-Cross Border) (the “ISDA Master Agreement”).</w:t>
      </w:r>
    </w:p>
    <w:p>
      <w:pPr>
        <w:pStyle w:val="Normal"/>
        <w:ind w:firstLine="720" w:end="0"/>
        <w:rPr/>
      </w:pPr>
      <w:r>
        <w:rPr/>
      </w:r>
    </w:p>
    <w:p>
      <w:pPr>
        <w:pStyle w:val="Normal"/>
        <w:ind w:firstLine="720" w:end="0"/>
        <w:rPr/>
      </w:pPr>
      <w:r>
        <w:rPr/>
        <w:t>Counterparty acknowledges that Global, a subsidiary of Supply, has acquired the assets of Merrill Lynch Capital Services, Inc. (“</w:t>
      </w:r>
      <w:r>
        <w:rPr>
          <w:u w:val="single"/>
        </w:rPr>
        <w:t>MLCS</w:t>
      </w:r>
      <w:r>
        <w:rPr/>
        <w:t>”) related to its energy trading business, including its trading relationships with Counterparty and other parties. In connection with this acquisition, certain transactions (the “MLCS Transactions”) have been transferred by MLCS to Supply pursuant to a Transfer and Assumption Agreement dated as of March [16], 2001.  In addition, in connection with Global’s operation of the business acquired from MLCS, Supply has agreed to provide Global with certain services, including entering into master agreements with Counterparty and other parties in order to intermediate trading conducted by Global with Counterparty and such other parties.  In order to effectuate these arrangements, Supply, Global, Counterparty and Guarantor hereby agree as follows:</w:t>
      </w:r>
    </w:p>
    <w:p>
      <w:pPr>
        <w:pStyle w:val="Normal"/>
        <w:ind w:firstLine="720" w:end="0"/>
        <w:rPr/>
      </w:pPr>
      <w:r>
        <w:rPr/>
      </w:r>
    </w:p>
    <w:p>
      <w:pPr>
        <w:pStyle w:val="Normal"/>
        <w:numPr>
          <w:ilvl w:val="0"/>
          <w:numId w:val="4"/>
        </w:numPr>
        <w:tabs>
          <w:tab w:val="clear" w:pos="720"/>
          <w:tab w:val="left" w:pos="1080" w:leader="none"/>
        </w:tabs>
        <w:ind w:hanging="360" w:start="1080" w:end="0"/>
        <w:rPr/>
      </w:pPr>
      <w:r>
        <w:rPr/>
        <mc:AlternateContent>
          <mc:Choice Requires="wps">
            <w:drawing>
              <wp:anchor behindDoc="0" distT="0" distB="0" distL="114935" distR="114935" simplePos="0" locked="0" layoutInCell="1" allowOverlap="1" relativeHeight="2">
                <wp:simplePos x="0" y="0"/>
                <wp:positionH relativeFrom="column">
                  <wp:posOffset>-1280160</wp:posOffset>
                </wp:positionH>
                <wp:positionV relativeFrom="paragraph">
                  <wp:posOffset>-301625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100.8pt;margin-top:-23.75pt;width:7.15pt;height:7.15pt;mso-wrap-style:none;v-text-anchor:middle">
                <v:fill o:detectmouseclick="t" type="solid" color2="black"/>
                <v:stroke color="white" weight="9360" joinstyle="miter" endcap="flat"/>
                <w10:wrap type="none"/>
              </v:rect>
            </w:pict>
          </mc:Fallback>
        </mc:AlternateContent>
      </w:r>
      <w:r>
        <w:rPr/>
        <w:t>Supply and Counterparty agree to use all reasonable efforts to negotiate, execute and deliver a form of ISDA Master Agreement on terms similar to those contained in the agreement between MLCS and Enron Risk Management Services Corp. dated December 2, 1992 and attached hereto (including the Schedule, Exhibits and Annex thereto, the “Merrill Agreement”), with such modifications as Supply and Counterparty will in good faith agree. Upon the execution by Supply and Counterparty of such an agreement, all confirmations confirming transactions, including the MLCS Transactions, which are subject to an ISDA Master Agreement (each a “Confirmation”), will supplement, form a part of, and be subject to that agreement.</w:t>
      </w:r>
    </w:p>
    <w:p>
      <w:pPr>
        <w:pStyle w:val="Normal"/>
        <w:ind w:start="720" w:end="0"/>
        <w:rPr/>
      </w:pPr>
      <w:r>
        <w:rPr/>
      </w:r>
    </w:p>
    <w:p>
      <w:pPr>
        <w:pStyle w:val="Normal"/>
        <w:numPr>
          <w:ilvl w:val="0"/>
          <w:numId w:val="4"/>
        </w:numPr>
        <w:tabs>
          <w:tab w:val="clear" w:pos="720"/>
          <w:tab w:val="left" w:pos="1080" w:leader="none"/>
        </w:tabs>
        <w:ind w:hanging="360" w:start="1080" w:end="0"/>
        <w:rPr/>
      </w:pPr>
      <w:r>
        <w:rPr/>
        <w:t>Until Supply and Counterparty execute and deliver that agreement, each Confirmation, together with all other documents entered into between Supply and Counterparty related to the transactions that are the subject of a Confirmation, including the MLCS Transactions, notwithstanding anything to the contrary in a Confirmation, shall supplement, form a part of, and be subject to an agreement in the form of the Merrill Agreement, as if Supply and Counterparty had executed an agreement in such form effective as of the trade date of the first transaction between them with the elections, changes or modifications made herein (the “New Agreement”).</w:t>
      </w:r>
    </w:p>
    <w:p>
      <w:pPr>
        <w:pStyle w:val="Normal"/>
        <w:ind w:start="720" w:end="0"/>
        <w:rPr/>
      </w:pPr>
      <w:r>
        <w:rPr/>
      </w:r>
    </w:p>
    <w:p>
      <w:pPr>
        <w:pStyle w:val="Normal"/>
        <w:numPr>
          <w:ilvl w:val="0"/>
          <w:numId w:val="4"/>
        </w:numPr>
        <w:tabs>
          <w:tab w:val="clear" w:pos="720"/>
          <w:tab w:val="left" w:pos="1080" w:leader="none"/>
        </w:tabs>
        <w:ind w:hanging="360" w:start="1080" w:end="0"/>
        <w:rPr/>
      </w:pPr>
      <w:r>
        <w:rPr/>
        <w:t xml:space="preserve">The parties agree that all actions permitted or required to be taken by Supply under the New Agreement shall be taken by Global as the advisor to Supply with full authority to act on behalf of Supply with respect to the New Agreement in all respects.  Without limitation of the foregoing, Supply hereby authorizes and instructs Counterparty to act or refrain from acting under the New Agreement upon the instruction of Global, and to accept notices or other information from and to provide notices to, Global under the New Agreement, all to the same extent and with the same force and effect as if such actions or instructions were taken or given, or such notices were provided to or by Supply directly. </w:t>
      </w:r>
    </w:p>
    <w:p>
      <w:pPr>
        <w:pStyle w:val="Normal"/>
        <w:ind w:start="720" w:end="0"/>
        <w:rPr/>
      </w:pPr>
      <w:r>
        <w:rPr/>
      </w:r>
    </w:p>
    <w:p>
      <w:pPr>
        <w:pStyle w:val="Normal"/>
        <w:numPr>
          <w:ilvl w:val="0"/>
          <w:numId w:val="4"/>
        </w:numPr>
        <w:tabs>
          <w:tab w:val="clear" w:pos="720"/>
          <w:tab w:val="left" w:pos="1080" w:leader="none"/>
        </w:tabs>
        <w:ind w:hanging="360" w:start="1080" w:end="0"/>
        <w:rPr/>
      </w:pPr>
      <w:r>
        <w:rPr/>
        <w:t xml:space="preserve">Supply and Counterparty hereby enter into the New Agreement, which Supply and Counterparty agree shall be identical in all respects to the Merrill Agreement, with the exception of the elections, changes or modifications made below: </w:t>
      </w:r>
    </w:p>
    <w:p>
      <w:pPr>
        <w:pStyle w:val="Normal"/>
        <w:rPr/>
      </w:pPr>
      <w:r>
        <w:rPr/>
      </w:r>
    </w:p>
    <w:p>
      <w:pPr>
        <w:pStyle w:val="Normal"/>
        <w:numPr>
          <w:ilvl w:val="0"/>
          <w:numId w:val="2"/>
        </w:numPr>
        <w:rPr/>
      </w:pPr>
      <w:r>
        <w:rPr/>
        <w:t>All references to “Merrill Lynch Capital Services, Inc.” or “MLCS” in the Merrill Agreement shall be deemed to be references to Supply, and all references to “Enron Risk Management Services Corp.” or “ERMS” shall be deemed to be references to Counterparty.</w:t>
      </w:r>
    </w:p>
    <w:p>
      <w:pPr>
        <w:pStyle w:val="Normal"/>
        <w:ind w:start="1440" w:end="0"/>
        <w:rPr/>
      </w:pPr>
      <w:r>
        <w:rPr/>
      </w:r>
    </w:p>
    <w:p>
      <w:pPr>
        <w:pStyle w:val="Normal"/>
        <w:numPr>
          <w:ilvl w:val="0"/>
          <w:numId w:val="2"/>
        </w:numPr>
        <w:rPr/>
      </w:pPr>
      <w:r>
        <w:rPr/>
        <w:t>In paragraph (a) of Part 1 of the Schedule to the Merrill Agreement (the “Schedule”), the references to “Merrill Lynch &amp; Co., Inc.” and “ML&amp;Co.” are deleted and replaced by the word “None”, and the words “and Enron Power Marketing, Inc.” are added after the references to Enron Corp. and Enron.</w:t>
      </w:r>
    </w:p>
    <w:p>
      <w:pPr>
        <w:pStyle w:val="Normal"/>
        <w:ind w:start="1440" w:end="0"/>
        <w:rPr/>
      </w:pPr>
      <w:r>
        <w:rPr/>
      </w:r>
    </w:p>
    <w:p>
      <w:pPr>
        <w:pStyle w:val="Normal"/>
        <w:numPr>
          <w:ilvl w:val="0"/>
          <w:numId w:val="2"/>
        </w:numPr>
        <w:rPr/>
      </w:pPr>
      <w:r>
        <w:rPr/>
        <w:t>The references to ML&amp;Co. in Part 3(b) are replaced by the words “Party A”, and the reference to “Party A” in the row which refers to the Guaranty is deleted.</w:t>
      </w:r>
    </w:p>
    <w:p>
      <w:pPr>
        <w:pStyle w:val="Normal"/>
        <w:ind w:start="1440" w:end="0"/>
        <w:rPr/>
      </w:pPr>
      <w:r>
        <w:rPr/>
      </w:r>
    </w:p>
    <w:p>
      <w:pPr>
        <w:pStyle w:val="Normal"/>
        <w:numPr>
          <w:ilvl w:val="0"/>
          <w:numId w:val="2"/>
        </w:numPr>
        <w:rPr/>
      </w:pPr>
      <w:r>
        <w:rPr/>
        <w:t>The notice information of MLCS as Party A in Part 4(a) shall be replaced with the following (or as otherwise notified to Counterparty by Supply):</w:t>
      </w:r>
    </w:p>
    <w:p>
      <w:pPr>
        <w:pStyle w:val="Normal"/>
        <w:ind w:start="2880" w:end="0"/>
        <w:rPr/>
      </w:pPr>
      <w:r>
        <w:rPr/>
      </w:r>
    </w:p>
    <w:p>
      <w:pPr>
        <w:pStyle w:val="Normal"/>
        <w:ind w:hanging="1440" w:start="3600" w:end="0"/>
        <w:rPr/>
      </w:pPr>
      <w:r>
        <w:rPr/>
        <w:tab/>
        <w:t>Allegheny Energy Supply Company, LLC</w:t>
      </w:r>
    </w:p>
    <w:p>
      <w:pPr>
        <w:pStyle w:val="Normal"/>
        <w:ind w:start="3600" w:end="0"/>
        <w:rPr/>
      </w:pPr>
      <w:r>
        <w:rPr/>
        <w:t>Roseytown Road</w:t>
      </w:r>
    </w:p>
    <w:p>
      <w:pPr>
        <w:pStyle w:val="Normal"/>
        <w:ind w:start="3600" w:end="0"/>
        <w:rPr/>
      </w:pPr>
      <w:r>
        <w:rPr/>
        <w:t>RR12 Box 1000</w:t>
      </w:r>
    </w:p>
    <w:p>
      <w:pPr>
        <w:pStyle w:val="Normal"/>
        <w:ind w:start="3600" w:end="0"/>
        <w:rPr/>
      </w:pPr>
      <w:r>
        <w:rPr/>
        <w:t>Greensburg, Pennsylvania, 15601</w:t>
      </w:r>
    </w:p>
    <w:p>
      <w:pPr>
        <w:pStyle w:val="Normal"/>
        <w:ind w:start="3600" w:end="0"/>
        <w:rPr/>
      </w:pPr>
      <w:r>
        <w:rPr/>
        <w:t>ATTN: Contract Administration</w:t>
      </w:r>
    </w:p>
    <w:p>
      <w:pPr>
        <w:pStyle w:val="Normal"/>
        <w:ind w:start="3600" w:end="0"/>
        <w:rPr/>
      </w:pPr>
      <w:r>
        <w:rPr/>
        <w:t>Phone: (724) 853-3777</w:t>
      </w:r>
    </w:p>
    <w:p>
      <w:pPr>
        <w:pStyle w:val="Normal"/>
        <w:ind w:start="3600" w:end="0"/>
        <w:rPr/>
      </w:pPr>
      <w:r>
        <w:rPr/>
        <w:t>Fax:</w:t>
        <w:tab/>
        <w:t>(724) 853-3784</w:t>
      </w:r>
    </w:p>
    <w:p>
      <w:pPr>
        <w:pStyle w:val="Normal"/>
        <w:rPr/>
      </w:pPr>
      <w:r>
        <w:rPr/>
      </w:r>
    </w:p>
    <w:p>
      <w:pPr>
        <w:pStyle w:val="Normal"/>
        <w:numPr>
          <w:ilvl w:val="0"/>
          <w:numId w:val="2"/>
        </w:numPr>
        <w:rPr/>
      </w:pPr>
      <w:r>
        <w:rPr/>
        <w:t>In Part 4(f) the words “Guarantee of ML &amp; Co. in the form attached hereto as Exhibit A” are replaced with the words “Not Applicable”.</w:t>
      </w:r>
    </w:p>
    <w:p>
      <w:pPr>
        <w:pStyle w:val="Normal"/>
        <w:ind w:start="1440" w:end="0"/>
        <w:rPr/>
      </w:pPr>
      <w:r>
        <w:rPr/>
      </w:r>
    </w:p>
    <w:p>
      <w:pPr>
        <w:pStyle w:val="Normal"/>
        <w:numPr>
          <w:ilvl w:val="0"/>
          <w:numId w:val="2"/>
        </w:numPr>
        <w:rPr/>
      </w:pPr>
      <w:r>
        <w:rPr/>
        <w:t>In Part 4(g) the words “ML &amp; Co.” are replaced with the words “Not Applicable”.</w:t>
      </w:r>
    </w:p>
    <w:p>
      <w:pPr>
        <w:pStyle w:val="Normal"/>
        <w:ind w:start="1440" w:end="0"/>
        <w:rPr/>
      </w:pPr>
      <w:r>
        <w:rPr/>
      </w:r>
    </w:p>
    <w:p>
      <w:pPr>
        <w:pStyle w:val="Normal"/>
        <w:numPr>
          <w:ilvl w:val="0"/>
          <w:numId w:val="2"/>
        </w:numPr>
        <w:rPr/>
      </w:pPr>
      <w:r>
        <w:rPr/>
        <w:t>In Part 5 (7), paragraphs (g), (h) and (i) are replaced by the following: “(g) Eligible Contract Participant.  It is an “eligible contract participant” as defined in the Commodity Exchange Act, as amended.”, and paragraph “(j)” becomes paragraph (h).</w:t>
      </w:r>
    </w:p>
    <w:p>
      <w:pPr>
        <w:pStyle w:val="Normal"/>
        <w:ind w:start="1440" w:end="0"/>
        <w:rPr/>
      </w:pPr>
      <w:r>
        <w:rPr/>
      </w:r>
    </w:p>
    <w:p>
      <w:pPr>
        <w:pStyle w:val="Normal"/>
        <w:numPr>
          <w:ilvl w:val="0"/>
          <w:numId w:val="2"/>
        </w:numPr>
        <w:rPr/>
      </w:pPr>
      <w:r>
        <w:rPr/>
        <w:t>Exhibit A is deleted in its entirety.</w:t>
      </w:r>
    </w:p>
    <w:p>
      <w:pPr>
        <w:pStyle w:val="Normal"/>
        <w:ind w:start="1440" w:end="0"/>
        <w:rPr/>
      </w:pPr>
      <w:r>
        <w:rPr/>
      </w:r>
    </w:p>
    <w:p>
      <w:pPr>
        <w:pStyle w:val="Normal"/>
        <w:numPr>
          <w:ilvl w:val="0"/>
          <w:numId w:val="2"/>
        </w:numPr>
        <w:rPr/>
      </w:pPr>
      <w:r>
        <w:rPr/>
        <w:t>In Exhibit B, the preamble is revised to replace the words “a Delaware Corporation” immediately before the parenthetical (“Counterparty”) with the words “a Delaware limited liability company”.</w:t>
      </w:r>
    </w:p>
    <w:p>
      <w:pPr>
        <w:pStyle w:val="Normal"/>
        <w:ind w:start="1440" w:end="0"/>
        <w:rPr/>
      </w:pPr>
      <w:r>
        <w:rPr/>
      </w:r>
    </w:p>
    <w:p>
      <w:pPr>
        <w:pStyle w:val="Normal"/>
        <w:numPr>
          <w:ilvl w:val="0"/>
          <w:numId w:val="2"/>
        </w:numPr>
        <w:rPr/>
      </w:pPr>
      <w:r>
        <w:rPr/>
        <w:t>In Exhibit B, the notice information of MLCS as Counterparty in section 8 shall be replaced with the following:</w:t>
      </w:r>
    </w:p>
    <w:p>
      <w:pPr>
        <w:pStyle w:val="Normal"/>
        <w:ind w:start="2880" w:end="0"/>
        <w:rPr/>
      </w:pPr>
      <w:r>
        <w:rPr/>
      </w:r>
    </w:p>
    <w:p>
      <w:pPr>
        <w:pStyle w:val="Normal"/>
        <w:ind w:hanging="1440" w:start="3600" w:end="0"/>
        <w:rPr/>
      </w:pPr>
      <w:r>
        <w:rPr/>
        <w:tab/>
        <w:t>Allegheny Energy Supply Company, LLC</w:t>
      </w:r>
    </w:p>
    <w:p>
      <w:pPr>
        <w:pStyle w:val="Normal"/>
        <w:ind w:start="3600" w:end="0"/>
        <w:rPr/>
      </w:pPr>
      <w:r>
        <w:rPr/>
        <w:t>Roseytown Road</w:t>
      </w:r>
    </w:p>
    <w:p>
      <w:pPr>
        <w:pStyle w:val="Normal"/>
        <w:ind w:start="3600" w:end="0"/>
        <w:rPr/>
      </w:pPr>
      <w:r>
        <w:rPr/>
        <w:t>RR12 Box 1000</w:t>
      </w:r>
    </w:p>
    <w:p>
      <w:pPr>
        <w:pStyle w:val="Normal"/>
        <w:ind w:start="3600" w:end="0"/>
        <w:rPr/>
      </w:pPr>
      <w:r>
        <w:rPr/>
        <w:t>Greensburg, Pennsylvania, 15601</w:t>
      </w:r>
    </w:p>
    <w:p>
      <w:pPr>
        <w:pStyle w:val="Normal"/>
        <w:ind w:start="3600" w:end="0"/>
        <w:rPr/>
      </w:pPr>
      <w:r>
        <w:rPr/>
        <w:t>ATTN: Contract Administration</w:t>
      </w:r>
    </w:p>
    <w:p>
      <w:pPr>
        <w:pStyle w:val="Normal"/>
        <w:ind w:start="3600" w:end="0"/>
        <w:rPr/>
      </w:pPr>
      <w:r>
        <w:rPr/>
        <w:t>Phone: (724) 853-3777</w:t>
      </w:r>
    </w:p>
    <w:p>
      <w:pPr>
        <w:pStyle w:val="Normal"/>
        <w:ind w:start="3600" w:end="0"/>
        <w:rPr/>
      </w:pPr>
      <w:r>
        <w:rPr/>
        <w:t>Fax:</w:t>
        <w:tab/>
        <w:t>(724) 853-3784</w:t>
      </w:r>
    </w:p>
    <w:p>
      <w:pPr>
        <w:pStyle w:val="Normal"/>
        <w:ind w:start="3600" w:end="0"/>
        <w:rPr/>
      </w:pPr>
      <w:r>
        <w:rPr/>
      </w:r>
    </w:p>
    <w:p>
      <w:pPr>
        <w:pStyle w:val="Normal"/>
        <w:numPr>
          <w:ilvl w:val="0"/>
          <w:numId w:val="2"/>
        </w:numPr>
        <w:rPr/>
      </w:pPr>
      <w:r>
        <w:rPr/>
        <w:t>In Annex A, the definition of “Exposure Threshold” is deleted and replaced with the following:</w:t>
      </w:r>
    </w:p>
    <w:p>
      <w:pPr>
        <w:pStyle w:val="Normal"/>
        <w:ind w:start="1440" w:end="0"/>
        <w:rPr/>
      </w:pPr>
      <w:r>
        <w:rPr/>
      </w:r>
    </w:p>
    <w:p>
      <w:pPr>
        <w:pStyle w:val="Normal"/>
        <w:ind w:start="2160" w:end="0"/>
        <w:rPr/>
      </w:pPr>
      <w:r>
        <w:rPr/>
        <w:t>“</w:t>
      </w:r>
      <w:r>
        <w:rPr/>
        <w:t>Exposure Threshold” shall mean, with respect to a party on any date of determination, (a) the amount set forth in the table below with respect to such party opposite the applicable Credit Rating for that party, which, in the case of Enron North America, Inc., shall be the Credit Rating then assigned to Enron Corp. and, in the case of Counterparty, shall be Counterparty’s Credit Rating, provided that if a party shall have different ratings, the lower rating shall determine the Exposure Threshold; or (b) zero if an Event of Default or a Termination Event (or event that would constitute an Event of Default or Termination Event with the lapse of time or giving of notice or both) with respect to such party has occurred that is still continuing.</w:t>
      </w:r>
    </w:p>
    <w:p>
      <w:pPr>
        <w:pStyle w:val="Normal"/>
        <w:ind w:start="2160" w:end="0"/>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CREDIT RATING</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ENRON</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COUNTERPARTY</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Baa1/BBB+ or higher</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$25 million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$15 million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Baa2/BBB</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$20 million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$10 million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Baa3/BBB-</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$10 million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$5 million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Ba1/BB+ or lower</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-0-</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-0-</w:t>
            </w:r>
          </w:p>
        </w:tc>
      </w:tr>
    </w:tbl>
    <w:p>
      <w:pPr>
        <w:pStyle w:val="Normal"/>
        <w:ind w:start="2160" w:end="0"/>
        <w:rPr/>
      </w:pPr>
      <w:r>
        <w:rPr/>
      </w:r>
    </w:p>
    <w:p>
      <w:pPr>
        <w:pStyle w:val="Normal"/>
        <w:ind w:start="2160" w:end="0"/>
        <w:rPr/>
      </w:pPr>
      <w:r>
        <w:rPr/>
      </w:r>
    </w:p>
    <w:p>
      <w:pPr>
        <w:pStyle w:val="Normal"/>
        <w:numPr>
          <w:ilvl w:val="0"/>
          <w:numId w:val="2"/>
        </w:numPr>
        <w:rPr/>
      </w:pPr>
      <w:r>
        <w:rPr/>
        <w:t>A new paragraph (c) is added at the end of Section II of Annex A which provides as follows: “Notwithstanding anything herein to the contrary, if the Credit Rating of a party falls below BBB- or Baa3, then such party shall deliver and maintain, at all times for so long as its Credit Rating remains below such levels, Performance Assurance for the benefit of the other party in an amount equal to or greater than $5,000,000 as an “independent amount” in addition to any Collateral Requirements it may be required to satisfy hereunder.”</w:t>
      </w:r>
    </w:p>
    <w:p>
      <w:pPr>
        <w:pStyle w:val="Normal"/>
        <w:ind w:start="1440" w:end="0"/>
        <w:rPr/>
      </w:pPr>
      <w:r>
        <w:rPr/>
      </w:r>
    </w:p>
    <w:p>
      <w:pPr>
        <w:pStyle w:val="Normal"/>
        <w:numPr>
          <w:ilvl w:val="0"/>
          <w:numId w:val="2"/>
        </w:numPr>
        <w:rPr/>
      </w:pPr>
      <w:r>
        <w:rPr/>
        <w:t>Section 3, paragraph (a) of Annex A is amended to replace the reference to $100,000 with $250,000.</w:t>
      </w:r>
    </w:p>
    <w:p>
      <w:pPr>
        <w:pStyle w:val="Normal"/>
        <w:ind w:start="1440" w:end="0"/>
        <w:rPr/>
      </w:pPr>
      <w:r>
        <w:rPr/>
      </w:r>
    </w:p>
    <w:p>
      <w:pPr>
        <w:pStyle w:val="Normal"/>
        <w:numPr>
          <w:ilvl w:val="0"/>
          <w:numId w:val="2"/>
        </w:numPr>
        <w:rPr/>
      </w:pPr>
      <w:r>
        <w:rPr/>
        <w:t>Notwithstanding anything to the contrary in the Merrill Agreement, the New Agreement is entered into and is effective as of the date hereof.</w:t>
      </w:r>
    </w:p>
    <w:p>
      <w:pPr>
        <w:pStyle w:val="Normal"/>
        <w:ind w:start="720" w:end="0"/>
        <w:rPr/>
      </w:pPr>
      <w:r>
        <w:rPr/>
      </w:r>
    </w:p>
    <w:p>
      <w:pPr>
        <w:pStyle w:val="BodyText5LA"/>
        <w:spacing w:before="0" w:after="0"/>
        <w:rPr/>
      </w:pPr>
      <w:r>
        <w:rPr/>
        <w:t>This letter, together with the attached Merrill Agreement, as modified herein, evidences a complete and binding agreement between Supply and Counterparty.</w:t>
      </w:r>
    </w:p>
    <w:p>
      <w:pPr>
        <w:pStyle w:val="BodyText5LA"/>
        <w:spacing w:before="0" w:after="0"/>
        <w:ind w:start="720" w:end="0"/>
        <w:rPr/>
      </w:pPr>
      <w:r>
        <w:rPr/>
      </w:r>
    </w:p>
    <w:p>
      <w:pPr>
        <w:pStyle w:val="BodyText5LA"/>
        <w:spacing w:before="0" w:after="0"/>
        <w:rPr/>
      </w:pPr>
      <w:r>
        <w:rPr/>
        <w:t>This letter shall be governed by and construed in accordance with the laws of the State of New York, without reference to the choice of law principles thereof.</w:t>
      </w:r>
    </w:p>
    <w:p>
      <w:pPr>
        <w:pStyle w:val="Normal"/>
        <w:ind w:start="720" w:end="0"/>
        <w:jc w:val="center"/>
        <w:rPr/>
      </w:pPr>
      <w:r>
        <w:rPr/>
      </w:r>
      <w:r>
        <w:br w:type="page"/>
      </w:r>
    </w:p>
    <w:p>
      <w:pPr>
        <w:pStyle w:val="Normal"/>
        <w:ind w:firstLine="720" w:end="0"/>
        <w:rPr/>
      </w:pPr>
      <w:r>
        <w:rPr/>
        <w:t>Please acknowledge your acceptance of and agreement with the foregoing by returning a signed copy of this letter to the undersigned.</w:t>
      </w:r>
    </w:p>
    <w:p>
      <w:pPr>
        <w:pStyle w:val="Normal"/>
        <w:rPr/>
      </w:pPr>
      <w:r>
        <w:rPr/>
      </w:r>
    </w:p>
    <w:p>
      <w:pPr>
        <w:pStyle w:val="Normal"/>
        <w:rPr/>
      </w:pPr>
      <w:r>
        <w:rPr/>
      </w:r>
    </w:p>
    <w:p>
      <w:pPr>
        <w:pStyle w:val="Normal"/>
        <w:rPr/>
      </w:pPr>
      <w:r>
        <w:rPr/>
        <w:tab/>
        <w:tab/>
        <w:tab/>
        <w:tab/>
        <w:tab/>
      </w:r>
    </w:p>
    <w:p>
      <w:pPr>
        <w:pStyle w:val="Normal"/>
        <w:ind w:firstLine="720" w:start="5040" w:end="0"/>
        <w:rPr>
          <w:b/>
        </w:rPr>
      </w:pPr>
      <w:r>
        <w:rPr>
          <w:b/>
        </w:rPr>
        <w:t xml:space="preserve">ALLEGHENY ENERGY </w:t>
      </w:r>
    </w:p>
    <w:p>
      <w:pPr>
        <w:pStyle w:val="Normal"/>
        <w:ind w:firstLine="720" w:start="5040" w:end="0"/>
        <w:rPr>
          <w:b/>
        </w:rPr>
      </w:pPr>
      <w:r>
        <w:rPr>
          <w:b/>
        </w:rPr>
        <w:t>SUPPLY COMPANY, LLC</w:t>
      </w:r>
    </w:p>
    <w:p>
      <w:pPr>
        <w:pStyle w:val="Normal"/>
        <w:rPr>
          <w:b/>
        </w:rPr>
      </w:pPr>
      <w:r>
        <w:rPr>
          <w:b/>
        </w:rPr>
      </w:r>
    </w:p>
    <w:p>
      <w:pPr>
        <w:pStyle w:val="Normal"/>
        <w:rPr>
          <w:b/>
        </w:rPr>
      </w:pPr>
      <w:r>
        <w:rPr>
          <w:b/>
        </w:rPr>
      </w:r>
    </w:p>
    <w:p>
      <w:pPr>
        <w:pStyle w:val="Normal"/>
        <w:ind w:firstLine="720" w:start="2160" w:end="0"/>
        <w:rPr/>
      </w:pPr>
      <w:r>
        <w:rPr/>
        <w:tab/>
        <w:tab/>
        <w:tab/>
        <w:tab/>
        <w:t>By:_____________________</w:t>
      </w:r>
    </w:p>
    <w:p>
      <w:pPr>
        <w:pStyle w:val="Normal"/>
        <w:rPr/>
      </w:pPr>
      <w:r>
        <w:rPr/>
        <w:tab/>
        <w:tab/>
        <w:tab/>
        <w:tab/>
        <w:tab/>
        <w:tab/>
        <w:tab/>
        <w:tab/>
        <w:t xml:space="preserve">     Name:</w:t>
      </w:r>
    </w:p>
    <w:p>
      <w:pPr>
        <w:pStyle w:val="Normal"/>
        <w:rPr/>
      </w:pPr>
      <w:r>
        <w:rPr/>
        <w:tab/>
        <w:tab/>
        <w:tab/>
        <w:tab/>
        <w:t xml:space="preserve">     </w:t>
        <w:tab/>
        <w:tab/>
        <w:tab/>
        <w:tab/>
        <w:t xml:space="preserve">     Title:</w:t>
      </w:r>
    </w:p>
    <w:p>
      <w:pPr>
        <w:pStyle w:val="Normal"/>
        <w:rPr/>
      </w:pPr>
      <w:r>
        <w:rPr/>
      </w:r>
    </w:p>
    <w:p>
      <w:pPr>
        <w:pStyle w:val="Normal"/>
        <w:rPr/>
      </w:pPr>
      <w:r>
        <w:rPr/>
      </w:r>
    </w:p>
    <w:p>
      <w:pPr>
        <w:pStyle w:val="Normal"/>
        <w:rPr/>
      </w:pPr>
      <w:r>
        <w:rPr/>
        <w:tab/>
        <w:tab/>
        <w:tab/>
        <w:tab/>
        <w:tab/>
      </w:r>
    </w:p>
    <w:p>
      <w:pPr>
        <w:pStyle w:val="Normal"/>
        <w:ind w:start="5760" w:end="0"/>
        <w:rPr>
          <w:b/>
        </w:rPr>
      </w:pPr>
      <w:r>
        <w:rPr>
          <w:b/>
        </w:rPr>
        <w:t>ALLEGHENY ENERGY GLOBAL MARKETS, LLC</w:t>
      </w:r>
    </w:p>
    <w:p>
      <w:pPr>
        <w:pStyle w:val="Normal"/>
        <w:rPr>
          <w:b/>
        </w:rPr>
      </w:pPr>
      <w:r>
        <w:rPr>
          <w:b/>
        </w:rPr>
      </w:r>
    </w:p>
    <w:p>
      <w:pPr>
        <w:pStyle w:val="Normal"/>
        <w:rPr/>
      </w:pPr>
      <w:r>
        <w:rPr/>
      </w:r>
    </w:p>
    <w:p>
      <w:pPr>
        <w:pStyle w:val="Normal"/>
        <w:ind w:firstLine="720" w:start="2160" w:end="0"/>
        <w:rPr/>
      </w:pPr>
      <w:r>
        <w:rPr/>
        <w:tab/>
        <w:tab/>
        <w:tab/>
        <w:tab/>
        <w:t>By:_____________________</w:t>
      </w:r>
    </w:p>
    <w:p>
      <w:pPr>
        <w:pStyle w:val="Normal"/>
        <w:rPr/>
      </w:pPr>
      <w:r>
        <w:rPr/>
        <w:tab/>
        <w:tab/>
        <w:tab/>
        <w:tab/>
        <w:tab/>
        <w:tab/>
        <w:tab/>
        <w:tab/>
        <w:t xml:space="preserve">     Name:</w:t>
      </w:r>
    </w:p>
    <w:p>
      <w:pPr>
        <w:pStyle w:val="Normal"/>
        <w:rPr/>
      </w:pPr>
      <w:r>
        <w:rPr/>
        <w:tab/>
        <w:tab/>
        <w:tab/>
        <w:tab/>
        <w:t xml:space="preserve">     </w:t>
        <w:tab/>
        <w:tab/>
        <w:tab/>
        <w:tab/>
        <w:t xml:space="preserve">     Title:</w:t>
      </w:r>
    </w:p>
    <w:p>
      <w:pPr>
        <w:pStyle w:val="Normal"/>
        <w:rPr/>
      </w:pPr>
      <w:r>
        <w:rPr/>
      </w:r>
    </w:p>
    <w:p>
      <w:pPr>
        <w:pStyle w:val="Normal"/>
        <w:rPr/>
      </w:pPr>
      <w:r>
        <w:rPr/>
        <w:t>Accepted and agreed as of the date first above written:</w:t>
      </w:r>
    </w:p>
    <w:p>
      <w:pPr>
        <w:pStyle w:val="Normal"/>
        <w:rPr/>
      </w:pPr>
      <w:r>
        <w:rPr/>
      </w:r>
    </w:p>
    <w:p>
      <w:pPr>
        <w:pStyle w:val="Normal"/>
        <w:rPr>
          <w:b/>
        </w:rPr>
      </w:pPr>
      <w:r>
        <w:rPr>
          <w:b/>
        </w:rPr>
        <w:t>ENRON NORTH AMERICA, INC.</w:t>
      </w:r>
    </w:p>
    <w:p>
      <w:pPr>
        <w:pStyle w:val="Normal"/>
        <w:rPr>
          <w:b/>
        </w:rPr>
      </w:pPr>
      <w:r>
        <w:rPr>
          <w:b/>
        </w:rPr>
      </w:r>
    </w:p>
    <w:p>
      <w:pPr>
        <w:pStyle w:val="Normal"/>
        <w:rPr/>
      </w:pPr>
      <w:r>
        <w:rPr/>
      </w:r>
    </w:p>
    <w:p>
      <w:pPr>
        <w:pStyle w:val="Normal"/>
        <w:rPr/>
      </w:pPr>
      <w:r>
        <w:rPr/>
      </w:r>
    </w:p>
    <w:p>
      <w:pPr>
        <w:pStyle w:val="Normal"/>
        <w:rPr/>
      </w:pPr>
      <w:r>
        <w:rPr/>
        <w:t>By:___________________</w:t>
      </w:r>
    </w:p>
    <w:p>
      <w:pPr>
        <w:pStyle w:val="Normal"/>
        <w:rPr/>
      </w:pPr>
      <w:r>
        <w:rPr/>
        <w:t xml:space="preserve">     </w:t>
      </w:r>
      <w:r>
        <w:rPr/>
        <w:t>Name:</w:t>
      </w:r>
    </w:p>
    <w:p>
      <w:pPr>
        <w:pStyle w:val="Normal"/>
        <w:rPr/>
      </w:pPr>
      <w:r>
        <w:rPr/>
        <w:t xml:space="preserve">     </w:t>
      </w:r>
      <w:r>
        <w:rPr/>
        <w:t>Title:</w:t>
      </w:r>
    </w:p>
    <w:p>
      <w:pPr>
        <w:pStyle w:val="Normal"/>
        <w:rPr/>
      </w:pPr>
      <w:r>
        <w:rPr/>
      </w:r>
    </w:p>
    <w:p>
      <w:pPr>
        <w:pStyle w:val="Normal"/>
        <w:rPr/>
      </w:pPr>
      <w:r>
        <w:rPr/>
      </w:r>
    </w:p>
    <w:p>
      <w:pPr>
        <w:pStyle w:val="Normal"/>
        <w:rPr/>
      </w:pPr>
      <w:r>
        <w:rPr/>
      </w:r>
    </w:p>
    <w:p>
      <w:pPr>
        <w:pStyle w:val="Normal"/>
        <w:rPr>
          <w:b/>
        </w:rPr>
      </w:pPr>
      <w:r>
        <w:rPr>
          <w:b/>
        </w:rPr>
        <w:t>ENRON CORP.</w:t>
      </w:r>
    </w:p>
    <w:p>
      <w:pPr>
        <w:pStyle w:val="Normal"/>
        <w:rPr>
          <w:b/>
        </w:rPr>
      </w:pPr>
      <w:r>
        <w:rPr>
          <w:b/>
        </w:rPr>
      </w:r>
    </w:p>
    <w:p>
      <w:pPr>
        <w:pStyle w:val="Normal"/>
        <w:rPr/>
      </w:pPr>
      <w:r>
        <w:rPr/>
      </w:r>
    </w:p>
    <w:p>
      <w:pPr>
        <w:pStyle w:val="Normal"/>
        <w:rPr/>
      </w:pPr>
      <w:r>
        <w:rPr/>
      </w:r>
    </w:p>
    <w:p>
      <w:pPr>
        <w:pStyle w:val="Normal"/>
        <w:rPr/>
      </w:pPr>
      <w:r>
        <w:rPr/>
        <w:t>By:___________________</w:t>
      </w:r>
    </w:p>
    <w:p>
      <w:pPr>
        <w:pStyle w:val="Normal"/>
        <w:rPr/>
      </w:pPr>
      <w:r>
        <w:rPr/>
        <w:t xml:space="preserve">     </w:t>
      </w:r>
      <w:r>
        <w:rPr/>
        <w:t>Name:</w:t>
      </w:r>
    </w:p>
    <w:p>
      <w:pPr>
        <w:pStyle w:val="Normal"/>
        <w:rPr/>
      </w:pPr>
      <w:r>
        <w:rPr/>
        <w:t xml:space="preserve">     </w:t>
      </w:r>
      <w:r>
        <w:rPr/>
        <w:t>Title:</w:t>
      </w:r>
    </w:p>
    <w:p>
      <w:pPr>
        <w:pStyle w:val="Normal"/>
        <w:rPr/>
      </w:pPr>
      <w:r>
        <w:rPr/>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rPr/>
      </w:pPr>
      <w:r>
        <w:rPr/>
      </w:r>
    </w:p>
    <w:p>
      <w:pPr>
        <w:pStyle w:val="Normal"/>
        <w:jc w:val="center"/>
        <w:rPr/>
      </w:pPr>
      <w:r>
        <w:rPr/>
        <w:t>ALLEGHENY ENERGY SUPPLY COMPANY, LLC</w:t>
      </w:r>
    </w:p>
    <w:p>
      <w:pPr>
        <w:pStyle w:val="Normal"/>
        <w:jc w:val="center"/>
        <w:rPr/>
      </w:pPr>
      <w:r>
        <w:rPr/>
        <w:t>RR12 Box 1000</w:t>
      </w:r>
    </w:p>
    <w:p>
      <w:pPr>
        <w:pStyle w:val="Normal"/>
        <w:jc w:val="center"/>
        <w:rPr/>
      </w:pPr>
      <w:r>
        <w:rPr/>
        <w:t>Roseytown Road</w:t>
      </w:r>
    </w:p>
    <w:p>
      <w:pPr>
        <w:pStyle w:val="Normal"/>
        <w:jc w:val="center"/>
        <w:rPr/>
      </w:pPr>
      <w:r>
        <w:rPr/>
        <w:t>Greensburg, Pennsylvania, 15601</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end"/>
        <w:rPr/>
      </w:pPr>
      <w:r>
        <w:rPr/>
        <w:t>March 16, 2001</w:t>
      </w:r>
    </w:p>
    <w:p>
      <w:pPr>
        <w:pStyle w:val="Normal"/>
        <w:rPr/>
      </w:pPr>
      <w:r>
        <w:rPr/>
      </w:r>
    </w:p>
    <w:p>
      <w:pPr>
        <w:pStyle w:val="Normal"/>
        <w:rPr/>
      </w:pPr>
      <w:r>
        <w:rPr/>
        <w:t>ENRON POWER MARKETING, INC.</w:t>
      </w:r>
    </w:p>
    <w:p>
      <w:pPr>
        <w:pStyle w:val="Normal"/>
        <w:rPr/>
      </w:pPr>
      <w:r>
        <w:rPr/>
        <w:t>1400 Smith Street</w:t>
      </w:r>
    </w:p>
    <w:p>
      <w:pPr>
        <w:pStyle w:val="Normal"/>
        <w:rPr/>
      </w:pPr>
      <w:r>
        <w:rPr/>
        <w:t>Houston, TX  77002-7361</w:t>
      </w:r>
    </w:p>
    <w:p>
      <w:pPr>
        <w:pStyle w:val="Normal"/>
        <w:rPr/>
      </w:pPr>
      <w:r>
        <w:rPr/>
        <w:t>Attn: Assistant General Counsel, Trading Group</w:t>
      </w:r>
    </w:p>
    <w:p>
      <w:pPr>
        <w:pStyle w:val="Normal"/>
        <w:rPr/>
      </w:pPr>
      <w:r>
        <w:rPr/>
      </w:r>
    </w:p>
    <w:p>
      <w:pPr>
        <w:pStyle w:val="Normal"/>
        <w:rPr/>
      </w:pPr>
      <w:r>
        <w:rPr/>
      </w:r>
    </w:p>
    <w:p>
      <w:pPr>
        <w:pStyle w:val="Normal"/>
        <w:rPr/>
      </w:pPr>
      <w:r>
        <w:rPr/>
      </w:r>
    </w:p>
    <w:p>
      <w:pPr>
        <w:pStyle w:val="Normal"/>
        <w:rPr/>
      </w:pPr>
      <w:r>
        <w:rPr/>
        <w:t>Dear Sirs:</w:t>
      </w:r>
    </w:p>
    <w:p>
      <w:pPr>
        <w:pStyle w:val="Normal"/>
        <w:rPr/>
      </w:pPr>
      <w:r>
        <w:rPr/>
      </w:r>
    </w:p>
    <w:p>
      <w:pPr>
        <w:pStyle w:val="Normal"/>
        <w:ind w:firstLine="720" w:end="0"/>
        <w:rPr/>
      </w:pPr>
      <w:r>
        <w:rPr/>
        <w:t>This purpose of this letter agreement is to amend the Master Energy Purchase and Sale Agreement, dated as of March 1, 2000, (the “Power Master”) between Allegheny Energy Supply Company, LLC (“</w:t>
      </w:r>
      <w:r>
        <w:rPr>
          <w:u w:val="single"/>
        </w:rPr>
        <w:t>Supply</w:t>
      </w:r>
      <w:r>
        <w:rPr/>
        <w:t>”), and Enron Power Marketing, Inc. (“</w:t>
      </w:r>
      <w:r>
        <w:rPr>
          <w:u w:val="single"/>
        </w:rPr>
        <w:t>Counterparty</w:t>
      </w:r>
      <w:r>
        <w:rPr/>
        <w:t>”), including the Guaranty issued by Enron Corp. (“</w:t>
      </w:r>
      <w:r>
        <w:rPr>
          <w:u w:val="single"/>
        </w:rPr>
        <w:t>Guarantor</w:t>
      </w:r>
      <w:r>
        <w:rPr/>
        <w:t>”) on behalf of Counterparty and dated November 30, 1998, as amended as of May 1, 1999.</w:t>
      </w:r>
    </w:p>
    <w:p>
      <w:pPr>
        <w:pStyle w:val="Normal"/>
        <w:ind w:firstLine="720" w:end="0"/>
        <w:rPr/>
      </w:pPr>
      <w:r>
        <w:rPr/>
      </w:r>
    </w:p>
    <w:p>
      <w:pPr>
        <w:pStyle w:val="Normal"/>
        <w:ind w:firstLine="720" w:end="0"/>
        <w:rPr/>
      </w:pPr>
      <w:r>
        <w:rPr/>
        <w:t>Counterparty acknowledges that Allegheny Energy Global Markets, LLC (“</w:t>
      </w:r>
      <w:r>
        <w:rPr>
          <w:u w:val="single"/>
        </w:rPr>
        <w:t>Global</w:t>
      </w:r>
      <w:r>
        <w:rPr/>
        <w:t>”), a subsidiary of Supply, has acquired the assets of Merrill Lynch Capital Services, Inc. (“</w:t>
      </w:r>
      <w:r>
        <w:rPr>
          <w:u w:val="single"/>
        </w:rPr>
        <w:t>MLCS</w:t>
      </w:r>
      <w:r>
        <w:rPr/>
        <w:t>”) related to its energy trading business, including its trading relationships with Counterparty and other parties.  In connection with this acquisition, certain transactions (the “MLCS Transactions”) have been transferred by MLCS to Supply pursuant to a Transfer and Assumption Agreement dated as of March [16], 2001. In addition, in connection with Global’s operation of the business acquired from MLCS, Supply has agreed to provide Global with certain services, including entering into master agreements with Counterparty and other parties in order to intermediate trading conducted by Global with Counterparty and such other parties. In order to effectuate these arrangements, Supply, Global, Counterparty and Guarantor hereby agree as follows:</w:t>
      </w:r>
    </w:p>
    <w:p>
      <w:pPr>
        <w:pStyle w:val="Normal"/>
        <w:ind w:firstLine="720" w:end="0"/>
        <w:rPr/>
      </w:pPr>
      <w:r>
        <w:rPr/>
      </w:r>
    </w:p>
    <w:p>
      <w:pPr>
        <w:pStyle w:val="Normal"/>
        <w:numPr>
          <w:ilvl w:val="0"/>
          <w:numId w:val="5"/>
        </w:numPr>
        <w:tabs>
          <w:tab w:val="clear" w:pos="720"/>
          <w:tab w:val="left" w:pos="1080" w:leader="none"/>
        </w:tabs>
        <w:ind w:hanging="360" w:start="1080" w:end="0"/>
        <w:rPr/>
      </w:pPr>
      <w:r>
        <w:rPr/>
        <mc:AlternateContent>
          <mc:Choice Requires="wps">
            <w:drawing>
              <wp:anchor behindDoc="0" distT="0" distB="0" distL="114935" distR="114935" simplePos="0" locked="0" layoutInCell="1" allowOverlap="1" relativeHeight="3">
                <wp:simplePos x="0" y="0"/>
                <wp:positionH relativeFrom="column">
                  <wp:posOffset>-1280160</wp:posOffset>
                </wp:positionH>
                <wp:positionV relativeFrom="paragraph">
                  <wp:posOffset>-301625</wp:posOffset>
                </wp:positionV>
                <wp:extent cx="91440" cy="91440"/>
                <wp:effectExtent l="5080" t="5080" r="5080" b="5080"/>
                <wp:wrapNone/>
                <wp:docPr id="2"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100.8pt;margin-top:-23.75pt;width:7.15pt;height:7.15pt;mso-wrap-style:none;v-text-anchor:middle">
                <v:fill o:detectmouseclick="t" type="solid" color2="black"/>
                <v:stroke color="white" weight="9360" joinstyle="miter" endcap="flat"/>
                <w10:wrap type="none"/>
              </v:rect>
            </w:pict>
          </mc:Fallback>
        </mc:AlternateContent>
      </w:r>
      <w:r>
        <w:rPr/>
        <w:t>Supply and Counterparty agree that upon the execution by Supply and Counterparty of this letter agreement, all confirmations confirming transactions, including the MLCS Transactions, which are subject to a Power Master (each a “Confirmation”) will supplement, form a part of, and be subject to the Power Master as amended herein.</w:t>
      </w:r>
    </w:p>
    <w:p>
      <w:pPr>
        <w:pStyle w:val="Normal"/>
        <w:ind w:start="720" w:end="0"/>
        <w:rPr/>
      </w:pPr>
      <w:r>
        <w:rPr/>
      </w:r>
    </w:p>
    <w:p>
      <w:pPr>
        <w:pStyle w:val="Normal"/>
        <w:numPr>
          <w:ilvl w:val="0"/>
          <w:numId w:val="5"/>
        </w:numPr>
        <w:tabs>
          <w:tab w:val="clear" w:pos="720"/>
          <w:tab w:val="left" w:pos="1080" w:leader="none"/>
        </w:tabs>
        <w:ind w:hanging="360" w:start="1080" w:end="0"/>
        <w:rPr/>
      </w:pPr>
      <w:r>
        <w:rPr/>
        <w:t>[The parties agree that all actions permitted or required to be taken by Supply under the New Agreement shall be taken by Global as the advisor to Supply with full authority to act on behalf of Supply with respect to the New Agreement in all respects.  Without limitation of the foregoing, Supply hereby authorizes and instructs Counterparty to act or refrain from acting under the New Agreement upon the instruction of Global, and to accept notices or other information from and to provide notices to, Global under the New Agreement, all to the same extent and with the same force and effect as if such actions or instructions were taken or given, or such notices were provided to or by Supply directly.]</w:t>
      </w:r>
    </w:p>
    <w:p>
      <w:pPr>
        <w:pStyle w:val="Normal"/>
        <w:ind w:start="720" w:end="0"/>
        <w:rPr/>
      </w:pPr>
      <w:r>
        <w:rPr/>
      </w:r>
    </w:p>
    <w:p>
      <w:pPr>
        <w:pStyle w:val="Normal"/>
        <w:numPr>
          <w:ilvl w:val="0"/>
          <w:numId w:val="5"/>
        </w:numPr>
        <w:tabs>
          <w:tab w:val="clear" w:pos="720"/>
          <w:tab w:val="left" w:pos="1080" w:leader="none"/>
        </w:tabs>
        <w:ind w:hanging="360" w:start="1080" w:end="0"/>
        <w:rPr/>
      </w:pPr>
      <w:r>
        <w:rPr/>
        <w:t xml:space="preserve">Supply and Counterparty hereby amend the Power Master as provided below: </w:t>
      </w:r>
    </w:p>
    <w:p>
      <w:pPr>
        <w:pStyle w:val="Normal"/>
        <w:rPr/>
      </w:pPr>
      <w:r>
        <w:rPr/>
      </w:r>
    </w:p>
    <w:p>
      <w:pPr>
        <w:pStyle w:val="Normal"/>
        <w:numPr>
          <w:ilvl w:val="0"/>
          <w:numId w:val="3"/>
        </w:numPr>
        <w:rPr/>
      </w:pPr>
      <w:r>
        <w:rPr/>
        <w:t>Section 4.1 is amended by adding the words “, its Guarantor or Specified Affiliate” as follows: in clause (d) after the words “the Defaulting Party”; in the first line of clause (e) after the words “the Defaulting Party”; and by adding the words “its Specified Affiliate or” in clause (g) after the words “at any time,”.</w:t>
      </w:r>
    </w:p>
    <w:p>
      <w:pPr>
        <w:pStyle w:val="Normal"/>
        <w:ind w:start="1440" w:end="0"/>
        <w:rPr/>
      </w:pPr>
      <w:r>
        <w:rPr/>
      </w:r>
    </w:p>
    <w:p>
      <w:pPr>
        <w:pStyle w:val="Normal"/>
        <w:numPr>
          <w:ilvl w:val="0"/>
          <w:numId w:val="3"/>
        </w:numPr>
        <w:rPr/>
      </w:pPr>
      <w:r>
        <w:rPr/>
        <w:t>Section 4.1(g) is amended by replacing the reference to $50,000,000 with $100,000,000.</w:t>
      </w:r>
    </w:p>
    <w:p>
      <w:pPr>
        <w:pStyle w:val="Normal"/>
        <w:ind w:start="1440" w:end="0"/>
        <w:rPr/>
      </w:pPr>
      <w:r>
        <w:rPr/>
      </w:r>
    </w:p>
    <w:p>
      <w:pPr>
        <w:pStyle w:val="Normal"/>
        <w:numPr>
          <w:ilvl w:val="0"/>
          <w:numId w:val="3"/>
        </w:numPr>
        <w:rPr/>
      </w:pPr>
      <w:r>
        <w:rPr/>
        <w:t>Section 4.8 is amended by replacing the references to $15,000,000 with $20,000,0000, and by adding at the end of the first sentence the following proviso: “; provided, however, that if the credit rating assigned to a party’s long-term senior unsecured debt (the “Credit Rating”) by Moody’s or S&amp;P is Baa2 or BBB, the applicable threshold for measuring collateral requirements with respect to that party (the “Threshold”) will be $15,000,000 rather than $20,000,000; if a party’s Credit Rating is Baa3 or BBB-,  the Threshold will be $5,000,000; and if a party’s Credit Rating is below either Baa3 or BBB-,  the Threshold will be –0-; provided further that if a party has different Credit Ratings, the lower Credit Rating will determine the applicable Threshold.</w:t>
      </w:r>
    </w:p>
    <w:p>
      <w:pPr>
        <w:pStyle w:val="Normal"/>
        <w:ind w:start="1440" w:end="0"/>
        <w:rPr/>
      </w:pPr>
      <w:r>
        <w:rPr/>
      </w:r>
    </w:p>
    <w:p>
      <w:pPr>
        <w:pStyle w:val="Normal"/>
        <w:numPr>
          <w:ilvl w:val="0"/>
          <w:numId w:val="3"/>
        </w:numPr>
        <w:rPr/>
      </w:pPr>
      <w:r>
        <w:rPr/>
        <w:t>Appendix “1” – Definitions is amended by adding a definition of “Specified Affiliate” as follows: “Specified Affiliate” means, with respect to EPMI, Enron North America, Inc. and, with respect to Counterparty, none.</w:t>
      </w:r>
    </w:p>
    <w:p>
      <w:pPr>
        <w:pStyle w:val="Normal"/>
        <w:ind w:start="720" w:end="0"/>
        <w:rPr/>
      </w:pPr>
      <w:r>
        <w:rPr/>
      </w:r>
    </w:p>
    <w:p>
      <w:pPr>
        <w:pStyle w:val="BodyText5LA"/>
        <w:spacing w:before="0" w:after="0"/>
        <w:rPr/>
      </w:pPr>
      <w:r>
        <w:rPr/>
        <w:t>This letter agreement evidences a complete and binding agreement between Supply and Counterparty as to the amendments specified herein.</w:t>
      </w:r>
    </w:p>
    <w:p>
      <w:pPr>
        <w:pStyle w:val="BodyText5LA"/>
        <w:spacing w:before="0" w:after="0"/>
        <w:ind w:start="720" w:end="0"/>
        <w:rPr/>
      </w:pPr>
      <w:r>
        <w:rPr/>
      </w:r>
    </w:p>
    <w:p>
      <w:pPr>
        <w:pStyle w:val="BodyText5LA"/>
        <w:spacing w:before="0" w:after="0"/>
        <w:rPr/>
      </w:pPr>
      <w:r>
        <w:rPr/>
        <w:t>This letter shall be governed by and construed in accordance with the laws of the State of New York, without reference to the choice of law principles thereof.</w:t>
      </w:r>
    </w:p>
    <w:p>
      <w:pPr>
        <w:pStyle w:val="Normal"/>
        <w:ind w:start="720" w:end="0"/>
        <w:jc w:val="center"/>
        <w:rPr/>
      </w:pPr>
      <w:r>
        <w:rPr/>
      </w:r>
      <w:r>
        <w:br w:type="page"/>
      </w:r>
    </w:p>
    <w:p>
      <w:pPr>
        <w:pStyle w:val="Normal"/>
        <w:ind w:firstLine="720" w:end="0"/>
        <w:rPr/>
      </w:pPr>
      <w:r>
        <w:rPr/>
        <w:t>Please acknowledge your acceptance of and agreement with the foregoing by returning a signed copy of this letter to the undersigned.</w:t>
      </w:r>
    </w:p>
    <w:p>
      <w:pPr>
        <w:pStyle w:val="Normal"/>
        <w:rPr/>
      </w:pPr>
      <w:r>
        <w:rPr/>
      </w:r>
    </w:p>
    <w:p>
      <w:pPr>
        <w:pStyle w:val="Normal"/>
        <w:rPr/>
      </w:pPr>
      <w:r>
        <w:rPr/>
      </w:r>
    </w:p>
    <w:p>
      <w:pPr>
        <w:pStyle w:val="Normal"/>
        <w:rPr/>
      </w:pPr>
      <w:r>
        <w:rPr/>
        <w:tab/>
        <w:tab/>
        <w:tab/>
        <w:tab/>
        <w:tab/>
      </w:r>
    </w:p>
    <w:p>
      <w:pPr>
        <w:pStyle w:val="Normal"/>
        <w:ind w:firstLine="720" w:start="5040" w:end="0"/>
        <w:rPr>
          <w:b/>
        </w:rPr>
      </w:pPr>
      <w:r>
        <w:rPr>
          <w:b/>
        </w:rPr>
        <w:t xml:space="preserve">ALLEGHENY ENERGY </w:t>
      </w:r>
    </w:p>
    <w:p>
      <w:pPr>
        <w:pStyle w:val="Normal"/>
        <w:ind w:firstLine="720" w:start="5040" w:end="0"/>
        <w:rPr>
          <w:b/>
        </w:rPr>
      </w:pPr>
      <w:r>
        <w:rPr>
          <w:b/>
        </w:rPr>
        <w:t>SUPPLY COMPANY, LLC</w:t>
      </w:r>
    </w:p>
    <w:p>
      <w:pPr>
        <w:pStyle w:val="Normal"/>
        <w:rPr>
          <w:b/>
        </w:rPr>
      </w:pPr>
      <w:r>
        <w:rPr>
          <w:b/>
        </w:rPr>
      </w:r>
    </w:p>
    <w:p>
      <w:pPr>
        <w:pStyle w:val="Normal"/>
        <w:rPr>
          <w:b/>
        </w:rPr>
      </w:pPr>
      <w:r>
        <w:rPr>
          <w:b/>
        </w:rPr>
      </w:r>
    </w:p>
    <w:p>
      <w:pPr>
        <w:pStyle w:val="Normal"/>
        <w:ind w:firstLine="720" w:start="2160" w:end="0"/>
        <w:rPr/>
      </w:pPr>
      <w:r>
        <w:rPr/>
        <w:tab/>
        <w:tab/>
        <w:tab/>
        <w:tab/>
        <w:t>By:_____________________</w:t>
      </w:r>
    </w:p>
    <w:p>
      <w:pPr>
        <w:pStyle w:val="Normal"/>
        <w:rPr/>
      </w:pPr>
      <w:r>
        <w:rPr/>
        <w:tab/>
        <w:tab/>
        <w:tab/>
        <w:tab/>
        <w:tab/>
        <w:tab/>
        <w:tab/>
        <w:tab/>
        <w:t xml:space="preserve">     Name:</w:t>
      </w:r>
    </w:p>
    <w:p>
      <w:pPr>
        <w:pStyle w:val="Normal"/>
        <w:rPr/>
      </w:pPr>
      <w:r>
        <w:rPr/>
        <w:tab/>
        <w:tab/>
        <w:tab/>
        <w:tab/>
        <w:t xml:space="preserve">     </w:t>
        <w:tab/>
        <w:tab/>
        <w:tab/>
        <w:tab/>
        <w:t xml:space="preserve">     Title:</w:t>
      </w:r>
    </w:p>
    <w:p>
      <w:pPr>
        <w:pStyle w:val="Normal"/>
        <w:rPr/>
      </w:pPr>
      <w:r>
        <w:rPr/>
      </w:r>
    </w:p>
    <w:p>
      <w:pPr>
        <w:pStyle w:val="Normal"/>
        <w:rPr/>
      </w:pPr>
      <w:r>
        <w:rPr/>
      </w:r>
    </w:p>
    <w:p>
      <w:pPr>
        <w:pStyle w:val="Normal"/>
        <w:rPr/>
      </w:pPr>
      <w:r>
        <w:rPr/>
        <w:tab/>
        <w:tab/>
        <w:tab/>
        <w:tab/>
        <w:tab/>
      </w:r>
    </w:p>
    <w:p>
      <w:pPr>
        <w:pStyle w:val="Normal"/>
        <w:ind w:start="5760" w:end="0"/>
        <w:rPr>
          <w:b/>
        </w:rPr>
      </w:pPr>
      <w:r>
        <w:rPr>
          <w:b/>
        </w:rPr>
        <w:t>ALLEGHENY ENERGY GLOBAL MARKETS, LLC</w:t>
      </w:r>
    </w:p>
    <w:p>
      <w:pPr>
        <w:pStyle w:val="Normal"/>
        <w:rPr>
          <w:b/>
        </w:rPr>
      </w:pPr>
      <w:r>
        <w:rPr>
          <w:b/>
        </w:rPr>
      </w:r>
    </w:p>
    <w:p>
      <w:pPr>
        <w:pStyle w:val="Normal"/>
        <w:rPr/>
      </w:pPr>
      <w:r>
        <w:rPr/>
      </w:r>
    </w:p>
    <w:p>
      <w:pPr>
        <w:pStyle w:val="Normal"/>
        <w:ind w:firstLine="720" w:start="2160" w:end="0"/>
        <w:rPr/>
      </w:pPr>
      <w:r>
        <w:rPr/>
        <w:tab/>
        <w:tab/>
        <w:tab/>
        <w:tab/>
        <w:t>By:_____________________</w:t>
      </w:r>
    </w:p>
    <w:p>
      <w:pPr>
        <w:pStyle w:val="Normal"/>
        <w:rPr/>
      </w:pPr>
      <w:r>
        <w:rPr/>
        <w:tab/>
        <w:tab/>
        <w:tab/>
        <w:tab/>
        <w:tab/>
        <w:tab/>
        <w:tab/>
        <w:tab/>
        <w:t xml:space="preserve">     Name:</w:t>
      </w:r>
    </w:p>
    <w:p>
      <w:pPr>
        <w:pStyle w:val="Normal"/>
        <w:rPr/>
      </w:pPr>
      <w:r>
        <w:rPr/>
        <w:tab/>
        <w:tab/>
        <w:tab/>
        <w:tab/>
        <w:t xml:space="preserve">     </w:t>
        <w:tab/>
        <w:tab/>
        <w:tab/>
        <w:tab/>
        <w:t xml:space="preserve">     Title:</w:t>
      </w:r>
    </w:p>
    <w:p>
      <w:pPr>
        <w:pStyle w:val="Normal"/>
        <w:rPr/>
      </w:pPr>
      <w:r>
        <w:rPr/>
      </w:r>
    </w:p>
    <w:p>
      <w:pPr>
        <w:pStyle w:val="Normal"/>
        <w:rPr/>
      </w:pPr>
      <w:r>
        <w:rPr/>
      </w:r>
    </w:p>
    <w:p>
      <w:pPr>
        <w:pStyle w:val="Normal"/>
        <w:rPr/>
      </w:pPr>
      <w:r>
        <w:rPr/>
        <w:t>Accepted and agreed as of the date first above written:</w:t>
      </w:r>
    </w:p>
    <w:p>
      <w:pPr>
        <w:pStyle w:val="Normal"/>
        <w:rPr/>
      </w:pPr>
      <w:r>
        <w:rPr/>
      </w:r>
    </w:p>
    <w:p>
      <w:pPr>
        <w:pStyle w:val="Normal"/>
        <w:rPr>
          <w:b/>
        </w:rPr>
      </w:pPr>
      <w:r>
        <w:rPr>
          <w:b/>
        </w:rPr>
        <w:t>ENRON NORTH AMERICA, INC.</w:t>
      </w:r>
    </w:p>
    <w:p>
      <w:pPr>
        <w:pStyle w:val="Normal"/>
        <w:rPr>
          <w:b/>
        </w:rPr>
      </w:pPr>
      <w:r>
        <w:rPr>
          <w:b/>
        </w:rPr>
      </w:r>
    </w:p>
    <w:p>
      <w:pPr>
        <w:pStyle w:val="Normal"/>
        <w:rPr/>
      </w:pPr>
      <w:r>
        <w:rPr/>
      </w:r>
    </w:p>
    <w:p>
      <w:pPr>
        <w:pStyle w:val="Normal"/>
        <w:rPr/>
      </w:pPr>
      <w:r>
        <w:rPr/>
      </w:r>
    </w:p>
    <w:p>
      <w:pPr>
        <w:pStyle w:val="Normal"/>
        <w:rPr/>
      </w:pPr>
      <w:r>
        <w:rPr/>
        <w:t>By:___________________</w:t>
      </w:r>
    </w:p>
    <w:p>
      <w:pPr>
        <w:pStyle w:val="Normal"/>
        <w:rPr/>
      </w:pPr>
      <w:r>
        <w:rPr/>
        <w:t xml:space="preserve">     </w:t>
      </w:r>
      <w:r>
        <w:rPr/>
        <w:t>Name:</w:t>
      </w:r>
    </w:p>
    <w:p>
      <w:pPr>
        <w:pStyle w:val="Normal"/>
        <w:rPr/>
      </w:pPr>
      <w:r>
        <w:rPr/>
        <w:t xml:space="preserve">     </w:t>
      </w:r>
      <w:r>
        <w:rPr/>
        <w:t>Title:</w:t>
      </w:r>
    </w:p>
    <w:p>
      <w:pPr>
        <w:pStyle w:val="Normal"/>
        <w:rPr/>
      </w:pPr>
      <w:r>
        <w:rPr/>
      </w:r>
    </w:p>
    <w:p>
      <w:pPr>
        <w:pStyle w:val="Normal"/>
        <w:rPr/>
      </w:pPr>
      <w:r>
        <w:rPr/>
      </w:r>
    </w:p>
    <w:p>
      <w:pPr>
        <w:pStyle w:val="Normal"/>
        <w:rPr/>
      </w:pPr>
      <w:r>
        <w:rPr/>
      </w:r>
    </w:p>
    <w:p>
      <w:pPr>
        <w:pStyle w:val="Normal"/>
        <w:rPr>
          <w:b/>
        </w:rPr>
      </w:pPr>
      <w:r>
        <w:rPr>
          <w:b/>
        </w:rPr>
        <w:t>ENRON CORP.</w:t>
      </w:r>
    </w:p>
    <w:p>
      <w:pPr>
        <w:pStyle w:val="Normal"/>
        <w:rPr>
          <w:b/>
        </w:rPr>
      </w:pPr>
      <w:r>
        <w:rPr>
          <w:b/>
        </w:rPr>
      </w:r>
    </w:p>
    <w:p>
      <w:pPr>
        <w:pStyle w:val="Normal"/>
        <w:rPr/>
      </w:pPr>
      <w:r>
        <w:rPr/>
      </w:r>
    </w:p>
    <w:p>
      <w:pPr>
        <w:pStyle w:val="Normal"/>
        <w:rPr/>
      </w:pPr>
      <w:r>
        <w:rPr/>
      </w:r>
    </w:p>
    <w:p>
      <w:pPr>
        <w:pStyle w:val="Normal"/>
        <w:rPr/>
      </w:pPr>
      <w:r>
        <w:rPr/>
        <w:t>By:___________________</w:t>
      </w:r>
    </w:p>
    <w:p>
      <w:pPr>
        <w:pStyle w:val="Normal"/>
        <w:rPr/>
      </w:pPr>
      <w:r>
        <w:rPr/>
        <w:t xml:space="preserve">     </w:t>
      </w:r>
      <w:r>
        <w:rPr/>
        <w:t>Name:</w:t>
      </w:r>
    </w:p>
    <w:p>
      <w:pPr>
        <w:pStyle w:val="Normal"/>
        <w:rPr/>
      </w:pPr>
      <w:r>
        <w:rPr/>
        <w:t xml:space="preserve">     </w:t>
      </w:r>
      <w:r>
        <w:rPr/>
        <w:t>Title:</w:t>
      </w:r>
    </w:p>
    <w:p>
      <w:pPr>
        <w:pStyle w:val="Normal"/>
        <w:rPr/>
      </w:pPr>
      <w:r>
        <w:rPr/>
      </w:r>
    </w:p>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NY12533:132906.1</w:t>
    </w:r>
  </w:p>
  <w:p>
    <w:pPr>
      <w:pStyle w:val="Footer"/>
      <w:rPr>
        <w:sz w:val="18"/>
      </w:rPr>
    </w:pPr>
    <w:r>
      <w:rPr>
        <w:sz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NY12533:133181.1</w:t>
    </w:r>
  </w:p>
  <w:p>
    <w:pPr>
      <w:pStyle w:val="Footer"/>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NY12533:132906.1</w:t>
    </w:r>
  </w:p>
  <w:p>
    <w:pPr>
      <w:pStyle w:val="Footer"/>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NY12533:133181.1</w:t>
    </w:r>
  </w:p>
  <w:p>
    <w:pPr>
      <w:pStyle w:val="Footer"/>
      <w:rPr>
        <w:sz w:val="18"/>
      </w:rPr>
    </w:pPr>
    <w:r>
      <w:rPr>
        <w:sz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S&amp;C Draft of March 14, 2001</w:t>
    </w:r>
  </w:p>
  <w:p>
    <w:pPr>
      <w:pStyle w:val="Header"/>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S&amp;C Draft of March 14, 2001</w:t>
    </w:r>
  </w:p>
  <w:p>
    <w:pPr>
      <w:pStyle w:val="Header"/>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4"/>
    </w:rPr>
  </w:style>
  <w:style w:type="paragraph" w:styleId="Heading6">
    <w:name w:val="heading 6"/>
    <w:basedOn w:val="Normal"/>
    <w:next w:val="Normal"/>
    <w:qFormat/>
    <w:pPr>
      <w:numPr>
        <w:ilvl w:val="5"/>
        <w:numId w:val="1"/>
      </w:numPr>
      <w:spacing w:before="240" w:after="60"/>
      <w:outlineLvl w:val="5"/>
    </w:pPr>
    <w:rPr>
      <w:i/>
      <w:sz w:val="24"/>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b/>
      <w:i/>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tyle>
  <w:style w:type="paragraph" w:styleId="BodyText5LA">
    <w:name w:val="!Body Text .5(LA)"/>
    <w:basedOn w:val="BodyText5J"/>
    <w:qFormat/>
    <w:pPr>
      <w:jc w:val="start"/>
    </w:pPr>
    <w:rPr/>
  </w:style>
  <w:style w:type="paragraph" w:styleId="BodyText1J">
    <w:name w:val="!Body Text 1(J)"/>
    <w:basedOn w:val="Normal"/>
    <w:qFormat/>
    <w:pPr>
      <w:spacing w:before="0" w:after="240"/>
      <w:ind w:firstLine="1440" w:start="0" w:end="0"/>
      <w:jc w:val="both"/>
    </w:pPr>
    <w:rPr/>
  </w:style>
  <w:style w:type="paragraph" w:styleId="BodyText1LA">
    <w:name w:val="!Body Text 1(LA)"/>
    <w:basedOn w:val="BodyText1J"/>
    <w:qFormat/>
    <w:pPr>
      <w:jc w:val="start"/>
    </w:pPr>
    <w:rPr/>
  </w:style>
  <w:style w:type="paragraph" w:styleId="BodyTextJ">
    <w:name w:val="!Body Text(J)"/>
    <w:basedOn w:val="Normal"/>
    <w:qFormat/>
    <w:pPr>
      <w:spacing w:before="0" w:after="240"/>
      <w:jc w:val="both"/>
    </w:pPr>
    <w:rPr/>
  </w:style>
  <w:style w:type="paragraph" w:styleId="BodyTextLA">
    <w:name w:val="!Body Text(LA)"/>
    <w:basedOn w:val="BodyTextJ"/>
    <w:qFormat/>
    <w:pPr>
      <w:jc w:val="start"/>
    </w:pPr>
    <w:rPr/>
  </w:style>
  <w:style w:type="paragraph" w:styleId="Date">
    <w:name w:val="!Date"/>
    <w:basedOn w:val="Normal"/>
    <w:qFormat/>
    <w:pPr>
      <w:keepNext w:val="true"/>
      <w:spacing w:before="0" w:after="480"/>
      <w:ind w:hanging="0" w:start="6480" w:end="0"/>
    </w:pPr>
    <w:rPr/>
  </w:style>
  <w:style w:type="paragraph" w:styleId="IndentedQuote">
    <w:name w:val="!Indented Quote"/>
    <w:basedOn w:val="Normal"/>
    <w:qFormat/>
    <w:pPr>
      <w:spacing w:before="0" w:after="240"/>
      <w:ind w:hanging="0" w:start="1440" w:end="1440"/>
    </w:pPr>
    <w:rPr/>
  </w:style>
  <w:style w:type="paragraph" w:styleId="ReLine">
    <w:name w:val="!Re Line"/>
    <w:basedOn w:val="BodyTextJ"/>
    <w:qFormat/>
    <w:pPr>
      <w:ind w:hanging="720" w:start="2160" w:end="2160"/>
      <w:jc w:val="start"/>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itle">
    <w:name w:val="!Title"/>
    <w:basedOn w:val="Normal"/>
    <w:qFormat/>
    <w:pPr>
      <w:keepNext w:val="true"/>
      <w:keepLines/>
      <w:spacing w:before="120" w:after="240"/>
      <w:jc w:val="center"/>
    </w:pPr>
    <w:rPr/>
  </w:style>
  <w:style w:type="paragraph" w:styleId="TitleB">
    <w:name w:val="!Title(B)"/>
    <w:basedOn w:val="Title"/>
    <w:qFormat/>
    <w:pPr/>
    <w:rPr>
      <w:b/>
      <w:caps/>
    </w:rPr>
  </w:style>
  <w:style w:type="paragraph" w:styleId="BodyTextFirstIndent">
    <w:name w:val="Body Text First Indent"/>
    <w:basedOn w:val="BodyText"/>
    <w:qFormat/>
    <w:pPr>
      <w:ind w:firstLine="210" w:start="0" w:end="0"/>
    </w:pPr>
    <w:rPr/>
  </w:style>
  <w:style w:type="paragraph" w:styleId="FootnoteText">
    <w:name w:val="footnote text"/>
    <w:basedOn w:val="Normal"/>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lang w:eastAsia="en-US"/>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2001-03-15T03:28:00Z</dcterms:created>
  <dc:creator>Information Services</dc:creator>
  <dc:description/>
  <dc:language>en-CA</dc:language>
  <cp:lastModifiedBy>For Help Call PC Support, x 4277</cp:lastModifiedBy>
  <cp:lastPrinted>2001-03-06T17:32:00Z</cp:lastPrinted>
  <dcterms:modified xsi:type="dcterms:W3CDTF">2001-03-15T03:28:00Z</dcterms:modified>
  <cp:revision>2</cp:revision>
  <dc:subject/>
  <dc:title>S&amp;C Draft of March 6, 2001</dc:title>
</cp:coreProperties>
</file>