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pPr>
      <w:r>
        <w:rPr/>
        <w:t>ALLEGHENY ENERGY SUPPLY COMPANY, LLC</w:t>
      </w:r>
    </w:p>
    <w:p>
      <w:pPr>
        <w:pStyle w:val="Normal"/>
        <w:jc w:val="center"/>
        <w:rPr/>
      </w:pPr>
      <w:r>
        <w:rPr/>
        <w:t>RR12 Box 1000</w:t>
      </w:r>
    </w:p>
    <w:p>
      <w:pPr>
        <w:pStyle w:val="Normal"/>
        <w:jc w:val="center"/>
        <w:rPr/>
      </w:pPr>
      <w:r>
        <w:rPr/>
        <w:t>Roseytown Road</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19, 2001</w:t>
      </w:r>
    </w:p>
    <w:p>
      <w:pPr>
        <w:pStyle w:val="Normal"/>
        <w:rPr/>
      </w:pPr>
      <w:r>
        <w:rPr/>
      </w:r>
    </w:p>
    <w:p>
      <w:pPr>
        <w:pStyle w:val="Normal"/>
        <w:rPr/>
      </w:pPr>
      <w:r>
        <w:rPr/>
        <w:t>ENRON POWER MARKETING, INC.</w:t>
      </w:r>
    </w:p>
    <w:p>
      <w:pPr>
        <w:pStyle w:val="Normal"/>
        <w:rPr/>
      </w:pPr>
      <w:r>
        <w:rPr/>
        <w:t>1400 Smith Street</w:t>
      </w:r>
    </w:p>
    <w:p>
      <w:pPr>
        <w:pStyle w:val="Normal"/>
        <w:rPr/>
      </w:pPr>
      <w:r>
        <w:rPr/>
        <w:t>Houston, TX  77002-7361</w:t>
      </w:r>
    </w:p>
    <w:p>
      <w:pPr>
        <w:pStyle w:val="Normal"/>
        <w:rPr/>
      </w:pPr>
      <w:r>
        <w:rPr/>
        <w:t>Attn: Assistant General Counsel, Trading Group</w:t>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purpose of this letter agreement is to amend the Master Energy Purchase and Sale Agreement, dated as of March 1, 2000, (the “</w:t>
      </w:r>
      <w:r>
        <w:rPr>
          <w:u w:val="single"/>
        </w:rPr>
        <w:t>Power Master</w:t>
      </w:r>
      <w:r>
        <w:rPr/>
        <w:t>”) between Allegheny Energy Supply Company, LLC (“</w:t>
      </w:r>
      <w:r>
        <w:rPr>
          <w:u w:val="single"/>
        </w:rPr>
        <w:t>Supply</w:t>
      </w:r>
      <w:r>
        <w:rPr/>
        <w:t>”) and Enron Power Marketing, Inc. (“</w:t>
      </w:r>
      <w:r>
        <w:rPr>
          <w:u w:val="single"/>
        </w:rPr>
        <w:t>Counterparty</w:t>
      </w:r>
      <w:r>
        <w:rPr/>
        <w:t>”).</w:t>
      </w:r>
    </w:p>
    <w:p>
      <w:pPr>
        <w:pStyle w:val="Normal"/>
        <w:ind w:firstLine="720" w:end="0"/>
        <w:rPr/>
      </w:pPr>
      <w:r>
        <w:rPr/>
      </w:r>
    </w:p>
    <w:p>
      <w:pPr>
        <w:pStyle w:val="Normal"/>
        <w:ind w:firstLine="720" w:end="0"/>
        <w:rPr/>
      </w:pPr>
      <w:r>
        <w:rPr/>
        <w:t>Counterparty acknowledges that Allegheny Energy Global Markets, LLC (“</w:t>
      </w:r>
      <w:r>
        <w:rPr>
          <w:u w:val="single"/>
        </w:rPr>
        <w:t>Global</w:t>
      </w:r>
      <w:r>
        <w:rPr/>
        <w:t>”),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19, 2001 (the “Transfer Agreement”).  In order to effectuate these arrangements, Supply, Global and Counterparty hereby agree as follows:</w:t>
      </w:r>
    </w:p>
    <w:p>
      <w:pPr>
        <w:pStyle w:val="Normal"/>
        <w:ind w:firstLine="720" w:end="0"/>
        <w:rPr/>
      </w:pPr>
      <w:r>
        <w:rPr/>
      </w:r>
    </w:p>
    <w:p>
      <w:pPr>
        <w:pStyle w:val="Normal"/>
        <w:rPr/>
      </w:pPr>
      <w:r>
        <w:rPr/>
        <w:t>1.  Supply and Counterparty agree that upon the execution by Supply and Counterparty of this letter agreement, all confirmations confirming transactions, including the MLCS Transactions, which are subject to the Power Master (each a “Confirmation”) will supplement, form a part of, and be subject to the Power Master as amended herein.</w:t>
      </w:r>
      <w:r>
        <mc:AlternateContent>
          <mc:Choice Requires="wps">
            <w:drawing>
              <wp:anchor behindDoc="0" distT="0" distB="0" distL="114935" distR="114935" simplePos="0" locked="0" layoutInCell="1" allowOverlap="1" relativeHeight="5">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 xml:space="preserve">  </w:t>
      </w:r>
      <w:r>
        <w:rPr>
          <w:color w:val="000000"/>
        </w:rPr>
        <w:t>With respect to the MLCS Transactions listed in Attachment A (hereinafter referred to as the "CAISO Transactions"), notwithstanding anything to the contrary contained in the relevant confirmations (whether executed or not), the type of product with respect to those CAISO Transactions shall be considered "CAISO Energy", the definition related to which is set forth below and shall be deemed incorporated in the CAISO Transactions:</w:t>
      </w:r>
      <w:r>
        <w:rPr/>
        <w:tab/>
      </w:r>
    </w:p>
    <w:p>
      <w:pPr>
        <w:pStyle w:val="Normal"/>
        <w:rPr/>
      </w:pPr>
      <w:r>
        <w:rPr/>
        <w:tab/>
      </w:r>
    </w:p>
    <w:p>
      <w:pPr>
        <w:pStyle w:val="BodyText2"/>
        <w:ind w:start="720" w:end="0"/>
        <w:jc w:val="start"/>
        <w:rPr>
          <w:rFonts w:ascii="Times New Roman" w:hAnsi="Times New Roman" w:cs="Times New Roman"/>
          <w:b w:val="false"/>
        </w:rPr>
      </w:pPr>
      <w:r>
        <w:rPr>
          <w:rFonts w:cs="Times New Roman" w:ascii="Times New Roman" w:hAnsi="Times New Roman"/>
          <w:b w:val="false"/>
        </w:rPr>
        <w:t>“</w:t>
      </w:r>
      <w:r>
        <w:rPr>
          <w:rFonts w:cs="Times New Roman" w:ascii="Times New Roman" w:hAnsi="Times New Roman"/>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720" w:end="0"/>
        <w:rPr>
          <w:rFonts w:ascii="Times New Roman" w:hAnsi="Times New Roman" w:cs="Times New Roman"/>
          <w:b/>
        </w:rPr>
      </w:pPr>
      <w:r>
        <w:rPr>
          <w:rFonts w:cs="Times New Roman"/>
          <w:b/>
        </w:rPr>
      </w:r>
    </w:p>
    <w:p>
      <w:pPr>
        <w:pStyle w:val="Normal"/>
        <w:rPr/>
      </w:pPr>
      <w:r>
        <w:rPr/>
        <w:t xml:space="preserve">2.  Supply and Counterparty hereby amend the Power Master as provided below: </w:t>
      </w:r>
    </w:p>
    <w:p>
      <w:pPr>
        <w:pStyle w:val="Normal"/>
        <w:rPr/>
      </w:pPr>
      <w:r>
        <w:rPr/>
      </w:r>
    </w:p>
    <w:p>
      <w:pPr>
        <w:pStyle w:val="Normal"/>
        <w:ind w:start="1440" w:end="0"/>
        <w:rPr/>
      </w:pPr>
      <w:r>
        <w:rPr/>
      </w:r>
    </w:p>
    <w:p>
      <w:pPr>
        <w:pStyle w:val="Normal"/>
        <w:numPr>
          <w:ilvl w:val="0"/>
          <w:numId w:val="2"/>
        </w:numPr>
        <w:rPr/>
      </w:pPr>
      <w:r>
        <w:rPr/>
        <w:t>Section 4.8 is amended by deleting the first sentence and replacing it with the following:</w:t>
      </w:r>
    </w:p>
    <w:p>
      <w:pPr>
        <w:pStyle w:val="Normal"/>
        <w:ind w:start="1440" w:end="0"/>
        <w:rPr/>
      </w:pPr>
      <w:r>
        <w:rPr/>
      </w:r>
    </w:p>
    <w:p>
      <w:pPr>
        <w:pStyle w:val="Normal"/>
        <w:ind w:firstLine="720" w:start="1440" w:end="0"/>
        <w:rPr/>
      </w:pPr>
      <w:r>
        <w:rPr/>
        <w:t xml:space="preserve">“ </w:t>
      </w:r>
      <w:r>
        <w:rPr/>
        <w:t>If at any time and from time to time during the term of this Agreement (and notwithstanding whether an Event of Default has occurred) the Termination Payment that would be owed from one Party (which may be either EPMI or Counterparty, each referred to for purposes of this section as “X”, as applicable) to the other Party (which may be either EPMI or Counterparty , each referred to for purposes of this section as “Y”, as applicable) in respect of all Transactions then outstanding exceeds the applicable threshold for X as specified in the table below (the “Threshold”), then Y may request that X provide Performance Assurance (in such form as mutually acceptable by both Parties) in an amount equal to the amount by which the Termination Payment exceeds  the applicable Threshold (rounding upwards for any fractional amount to the next $250,000), or such other collateral as may be reasonably acceptable to Y; provided that “Credit Rating”  for purposes of this Agreement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 and , in the case of  EPMI, shall refer to the Credit Rating then assigned to Enron Corp. and, in the case of Counterparty, shall refer to Counterparty’sCredit Rating; provided further that if a Party shall have different ratings, the lower rating shall determine the applicable Threshold.</w:t>
      </w:r>
    </w:p>
    <w:p>
      <w:pPr>
        <w:pStyle w:val="Normal"/>
        <w:ind w:start="2160" w:end="0"/>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CREDIT RATING </w:t>
            </w:r>
          </w:p>
          <w:p>
            <w:pPr>
              <w:pStyle w:val="Normal"/>
              <w:jc w:val="center"/>
              <w:rPr>
                <w:b/>
              </w:rPr>
            </w:pPr>
            <w:r>
              <w:rPr>
                <w:b/>
              </w:rPr>
              <w:t>(Moody’s/S&amp;P)</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EPMI THRESHOLD</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COUNTERPARTY THRESHOLD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Baa1/BBB+ or higher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Baa2/BBB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Baa3/BBB-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Ba1/BB+ or lower or not rated by either Moody’s or S&amp;P</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r>
    </w:tbl>
    <w:p>
      <w:pPr>
        <w:pStyle w:val="Normal"/>
        <w:ind w:start="1440" w:end="0"/>
        <w:rPr/>
      </w:pPr>
      <w:r>
        <w:rPr/>
        <w:t>”</w:t>
      </w:r>
    </w:p>
    <w:p>
      <w:pPr>
        <w:pStyle w:val="Normal"/>
        <w:ind w:start="1440" w:end="0"/>
        <w:rPr/>
      </w:pPr>
      <w:r>
        <w:rPr/>
        <w:t>(ii) Section 4.1 is amended by deleting the words “Allegheny Energy, Inc.” each place it appears in clause (g) thereof and replacing them with “Counterparty”.</w:t>
      </w:r>
    </w:p>
    <w:p>
      <w:pPr>
        <w:pStyle w:val="Normal"/>
        <w:ind w:start="1440" w:end="0"/>
        <w:rPr/>
      </w:pPr>
      <w:r>
        <w:rPr/>
      </w:r>
    </w:p>
    <w:p>
      <w:pPr>
        <w:pStyle w:val="Normal"/>
        <w:ind w:start="1440" w:end="0"/>
        <w:rPr/>
      </w:pPr>
      <w:r>
        <w:rPr/>
        <w:t xml:space="preserve">(iii) Paragraph (b) under Section 4.7 is deleted in its entirety. </w:t>
      </w:r>
    </w:p>
    <w:p>
      <w:pPr>
        <w:pStyle w:val="Normal"/>
        <w:ind w:start="1440" w:end="0"/>
        <w:rPr/>
      </w:pPr>
      <w:r>
        <w:rPr/>
      </w:r>
    </w:p>
    <w:p>
      <w:pPr>
        <w:pStyle w:val="Normal"/>
        <w:ind w:start="1440" w:end="0"/>
        <w:rPr/>
      </w:pPr>
      <w:r>
        <w:rPr/>
        <w:t>(iv) Section 8.2 is amended by deleting the words “Allegheny Energy, Inc. and Counterparty, respectively,” each place they appear and replacing them with “Counterparty”.</w:t>
      </w:r>
    </w:p>
    <w:p>
      <w:pPr>
        <w:pStyle w:val="Normal"/>
        <w:ind w:start="1440" w:end="0"/>
        <w:rPr/>
      </w:pPr>
      <w:r>
        <w:rPr/>
      </w:r>
    </w:p>
    <w:p>
      <w:pPr>
        <w:pStyle w:val="Normal"/>
        <w:ind w:start="1440" w:end="0"/>
        <w:rPr/>
      </w:pPr>
      <w:r>
        <w:rPr/>
        <w:t>(v) Appendix “1” – Definitions is amended by replacing the definitions of “Guarantor” and “Material Adverse Change” as follows:</w:t>
      </w:r>
    </w:p>
    <w:p>
      <w:pPr>
        <w:pStyle w:val="Normal"/>
        <w:ind w:start="1440" w:end="0"/>
        <w:rPr/>
      </w:pPr>
      <w:r>
        <w:rPr/>
      </w:r>
    </w:p>
    <w:p>
      <w:pPr>
        <w:pStyle w:val="Normal"/>
        <w:ind w:start="1440" w:end="0"/>
        <w:rPr/>
      </w:pPr>
      <w:r>
        <w:rPr/>
        <w:t>“</w:t>
      </w:r>
      <w:r>
        <w:rPr/>
        <w:t>Guarantor” means, as to EPMI, Enron Corp.</w:t>
      </w:r>
    </w:p>
    <w:p>
      <w:pPr>
        <w:pStyle w:val="Normal"/>
        <w:ind w:start="1440" w:end="0"/>
        <w:rPr/>
      </w:pPr>
      <w:r>
        <w:rPr/>
      </w:r>
    </w:p>
    <w:p>
      <w:pPr>
        <w:pStyle w:val="Normal"/>
        <w:ind w:start="1440" w:end="0"/>
        <w:rPr/>
      </w:pPr>
      <w:r>
        <w:rPr/>
        <w:t>“</w:t>
      </w:r>
      <w:r>
        <w:rPr/>
        <w:t xml:space="preserve">Material Adverse Change” means (1) with respect to Counterparty, any of the following shall occur at any time: (a) Counterparty shall have a Credit Rating (i) that is below “BBB-“ by S&amp;P or (ii) that is below “Baa3” by Moody’s or (iii) that is not rated by either S&amp;P or Moody’s, and (2) with respect to EPMI, any of the following shall occur at any time: (a) Enron Corp. shall have a Credit Rating (i) that is below “BBB-“ by S&amp;P or (ii) that is below “Baa3” by Moody’s or (iii) that is not rated by either S&amp;P or Moody’s.    </w:t>
      </w:r>
    </w:p>
    <w:p>
      <w:pPr>
        <w:pStyle w:val="BodyText5LA"/>
        <w:spacing w:before="0" w:after="0"/>
        <w:rPr/>
      </w:pPr>
      <w:r>
        <w:rPr/>
      </w:r>
    </w:p>
    <w:p>
      <w:pPr>
        <w:pStyle w:val="BodyText5LA"/>
        <w:spacing w:before="0" w:after="0"/>
        <w:rPr/>
      </w:pPr>
      <w:r>
        <w:rPr/>
        <w:t>Each of Supply and Counterparty agree to represent as of the effective date of the transfer of the MLCS Transactions pursuant to the Transfer Agreement that all the representations and warranties in the Power Master are true and correct.</w:t>
      </w:r>
    </w:p>
    <w:p>
      <w:pPr>
        <w:pStyle w:val="BodyText5LA"/>
        <w:spacing w:before="0" w:after="0"/>
        <w:rPr/>
      </w:pPr>
      <w:r>
        <w:rPr/>
      </w:r>
    </w:p>
    <w:p>
      <w:pPr>
        <w:pStyle w:val="BodyText5LA"/>
        <w:spacing w:before="0" w:after="0"/>
        <w:rPr/>
      </w:pPr>
      <w:r>
        <w:rPr/>
        <w:t>The amendments herein shall be effective upon execution of this letter agreement.  This letter agreement evidences a complete and binding agreement between Supply and Counterparty as to the amendments specified herein.</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and, with respect to choice of law principles, in accordance with Section 5-1401 of the New York General Obligation Laws.</w:t>
      </w:r>
    </w:p>
    <w:p>
      <w:pPr>
        <w:pStyle w:val="Normal"/>
        <w:ind w:start="720" w:end="0"/>
        <w:jc w:val="center"/>
        <w:rPr/>
      </w:pPr>
      <w:r>
        <w:rPr/>
      </w:r>
      <w:r>
        <w:br w:type="page"/>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numPr>
          <w:ilvl w:val="0"/>
          <w:numId w:val="0"/>
        </w:numPr>
        <w:ind w:firstLine="720" w:end="0"/>
        <w:rPr/>
      </w:pPr>
      <w:r>
        <w:rPr/>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POWER MARKETING, INC.</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p>
      <w:pPr>
        <w:pStyle w:val="Normal"/>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NY12533:133181.5</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NY12533:133181.5</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2001-03-19T14:09:00Z</dcterms:created>
  <dc:creator>Information Services</dc:creator>
  <dc:description/>
  <dc:language>en-CA</dc:language>
  <cp:lastModifiedBy>Information Services</cp:lastModifiedBy>
  <cp:lastPrinted>2001-03-19T12:15:00Z</cp:lastPrinted>
  <dcterms:modified xsi:type="dcterms:W3CDTF">2001-03-19T14:46:00Z</dcterms:modified>
  <cp:revision>3</cp:revision>
  <dc:subject/>
  <dc:title>S&amp;C Draft of March 6, 2001</dc:title>
</cp:coreProperties>
</file>