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t"/>
        <w:bidi w:val="0"/>
        <w:spacing w:before="0" w:after="0"/>
        <w:jc w:val="end"/>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ALLEGHENY ENERGY SUPPLY COMPANY, LLC</w:t>
      </w:r>
    </w:p>
    <w:p>
      <w:pPr>
        <w:pStyle w:val="Normal"/>
        <w:bidi w:val="0"/>
        <w:jc w:val="center"/>
        <w:rPr>
          <w:rFonts w:ascii="Times New Roman" w:hAnsi="Times New Roman"/>
        </w:rPr>
      </w:pPr>
      <w:r>
        <w:rPr>
          <w:rFonts w:ascii="Times New Roman" w:hAnsi="Times New Roman"/>
        </w:rPr>
        <w:t>Roseytown Road</w:t>
      </w:r>
    </w:p>
    <w:p>
      <w:pPr>
        <w:pStyle w:val="Normal"/>
        <w:bidi w:val="0"/>
        <w:jc w:val="center"/>
        <w:rPr>
          <w:rFonts w:ascii="Times New Roman" w:hAnsi="Times New Roman"/>
        </w:rPr>
      </w:pPr>
      <w:r>
        <w:rPr>
          <w:rFonts w:ascii="Times New Roman" w:hAnsi="Times New Roman"/>
        </w:rPr>
        <w:t>RR12 Box 1000</w:t>
      </w:r>
    </w:p>
    <w:p>
      <w:pPr>
        <w:pStyle w:val="Normal"/>
        <w:bidi w:val="0"/>
        <w:jc w:val="center"/>
        <w:rPr>
          <w:rFonts w:ascii="Times New Roman" w:hAnsi="Times New Roman"/>
        </w:rPr>
      </w:pPr>
      <w:r>
        <w:rPr>
          <w:rFonts w:ascii="Times New Roman" w:hAnsi="Times New Roman"/>
        </w:rPr>
        <w:t>Greensburg, Pennsylvania, 15601</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end"/>
        <w:rPr>
          <w:rFonts w:ascii="Times New Roman" w:hAnsi="Times New Roman"/>
        </w:rPr>
      </w:pPr>
      <w:r>
        <w:rPr>
          <w:rFonts w:ascii="Times New Roman" w:hAnsi="Times New Roman"/>
        </w:rPr>
        <w:t xml:space="preserve">March </w:t>
      </w:r>
      <w:r>
        <w:rPr>
          <w:rFonts w:ascii="Times New Roman" w:hAnsi="Times New Roman"/>
          <w:strike/>
        </w:rPr>
        <w:t>16</w:t>
      </w:r>
      <w:r>
        <w:rPr>
          <w:rFonts w:ascii="Times New Roman" w:hAnsi="Times New Roman"/>
        </w:rPr>
        <w:t xml:space="preserve"> </w:t>
      </w:r>
      <w:r>
        <w:rPr>
          <w:rFonts w:ascii="Times New Roman" w:hAnsi="Times New Roman"/>
          <w:b/>
          <w:u w:val="double"/>
        </w:rPr>
        <w:t>19</w:t>
      </w:r>
      <w:r>
        <w:rPr>
          <w:rFonts w:ascii="Times New Roman" w:hAnsi="Times New Roman"/>
        </w:rPr>
        <w:t>, 2001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ENRON NORTH AMERICA CORP.</w:t>
      </w:r>
    </w:p>
    <w:p>
      <w:pPr>
        <w:pStyle w:val="Normal"/>
        <w:bidi w:val="0"/>
        <w:jc w:val="start"/>
        <w:rPr>
          <w:rFonts w:ascii="Times New Roman" w:hAnsi="Times New Roman"/>
        </w:rPr>
      </w:pPr>
      <w:r>
        <w:rPr>
          <w:rFonts w:ascii="Times New Roman" w:hAnsi="Times New Roman"/>
        </w:rPr>
        <w:t>1400 Smith Street</w:t>
      </w:r>
    </w:p>
    <w:p>
      <w:pPr>
        <w:pStyle w:val="Normal"/>
        <w:bidi w:val="0"/>
        <w:jc w:val="start"/>
        <w:rPr>
          <w:rFonts w:ascii="Times New Roman" w:hAnsi="Times New Roman"/>
        </w:rPr>
      </w:pPr>
      <w:r>
        <w:rPr>
          <w:rFonts w:ascii="Times New Roman" w:hAnsi="Times New Roman"/>
        </w:rPr>
        <w:t>Houston, TX    77002-7361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Dear Sirs:</w:t>
      </w:r>
    </w:p>
    <w:p>
      <w:pPr>
        <w:pStyle w:val="Normal"/>
        <w:bidi w:val="0"/>
        <w:jc w:val="start"/>
        <w:rPr>
          <w:rFonts w:ascii="Times New Roman" w:hAnsi="Times New Roman"/>
        </w:rPr>
      </w:pPr>
      <w:r>
        <w:rPr>
          <w:rFonts w:ascii="Times New Roman" w:hAnsi="Times New Roman"/>
        </w:rPr>
      </w:r>
    </w:p>
    <w:p>
      <w:pPr>
        <w:pStyle w:val="Normal"/>
        <w:bidi w:val="0"/>
        <w:ind w:firstLine="720"/>
        <w:jc w:val="start"/>
        <w:rPr>
          <w:rFonts w:ascii="Times New Roman" w:hAnsi="Times New Roman"/>
        </w:rPr>
      </w:pPr>
      <w:r>
        <w:rPr>
          <w:rFonts w:ascii="Times New Roman" w:hAnsi="Times New Roman"/>
        </w:rPr>
        <w:t>This letter is to confirm the mutual understandings and agreements of Allegheny Energy Supply Company, LLC (“</w:t>
      </w:r>
      <w:r>
        <w:rPr>
          <w:rFonts w:ascii="Times New Roman" w:hAnsi="Times New Roman"/>
          <w:u w:val="single"/>
        </w:rPr>
        <w:t>Supply</w:t>
      </w:r>
      <w:r>
        <w:rPr>
          <w:rFonts w:ascii="Times New Roman" w:hAnsi="Times New Roman"/>
        </w:rPr>
        <w:t>”), Allegheny Energy Global Markets, LLC (“</w:t>
      </w:r>
      <w:r>
        <w:rPr>
          <w:rFonts w:ascii="Times New Roman" w:hAnsi="Times New Roman"/>
          <w:u w:val="single"/>
        </w:rPr>
        <w:t>Global</w:t>
      </w:r>
      <w:r>
        <w:rPr>
          <w:rFonts w:ascii="Times New Roman" w:hAnsi="Times New Roman"/>
        </w:rPr>
        <w:t>”)</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xml:space="preserve"> Enron North America Corp. (the “</w:t>
      </w:r>
      <w:r>
        <w:rPr>
          <w:rFonts w:ascii="Times New Roman" w:hAnsi="Times New Roman"/>
          <w:u w:val="single"/>
        </w:rPr>
        <w:t>Counterparty</w:t>
      </w:r>
      <w:r>
        <w:rPr>
          <w:rFonts w:ascii="Times New Roman" w:hAnsi="Times New Roman"/>
        </w:rPr>
        <w:t xml:space="preserve">”) </w:t>
      </w:r>
      <w:r>
        <w:rPr>
          <w:rFonts w:ascii="Times New Roman" w:hAnsi="Times New Roman"/>
          <w:strike/>
        </w:rPr>
        <w:t>and Enron Corp. (the “Guarantor”)</w:t>
      </w:r>
      <w:r>
        <w:rPr>
          <w:rFonts w:ascii="Times New Roman" w:hAnsi="Times New Roman"/>
        </w:rPr>
        <w:t xml:space="preserve"> regarding certain terms and conditions applicable to transactions between them which are subject to an ISDA Master Agreement (Multicurrency-Cross Border) (the “ISDA Master Agreement”).</w:t>
      </w:r>
    </w:p>
    <w:p>
      <w:pPr>
        <w:pStyle w:val="Normal"/>
        <w:bidi w:val="0"/>
        <w:ind w:firstLine="720"/>
        <w:jc w:val="start"/>
        <w:rPr>
          <w:rFonts w:ascii="Times New Roman" w:hAnsi="Times New Roman"/>
        </w:rPr>
      </w:pPr>
      <w:r>
        <w:rPr>
          <w:rFonts w:ascii="Times New Roman" w:hAnsi="Times New Roman"/>
        </w:rPr>
      </w:r>
    </w:p>
    <w:p>
      <w:pPr>
        <w:pStyle w:val="Normal"/>
        <w:bidi w:val="0"/>
        <w:ind w:firstLine="720"/>
        <w:jc w:val="start"/>
        <w:rPr>
          <w:rFonts w:ascii="Times New Roman" w:hAnsi="Times New Roman"/>
        </w:rPr>
      </w:pPr>
      <w:r>
        <w:rPr>
          <w:rFonts w:ascii="Times New Roman" w:hAnsi="Times New Roman"/>
        </w:rPr>
        <w:t>Counterparty acknowledges that Global, a subsidiary of Supply, has acquired the assets of Merrill Lynch Capital Services, Inc. (“</w:t>
      </w:r>
      <w:r>
        <w:rPr>
          <w:rFonts w:ascii="Times New Roman" w:hAnsi="Times New Roman"/>
          <w:u w:val="single"/>
        </w:rPr>
        <w:t>MLCS</w:t>
      </w:r>
      <w:r>
        <w:rPr>
          <w:rFonts w:ascii="Times New Roman" w:hAnsi="Times New Roman"/>
        </w:rPr>
        <w:t xml:space="preserve">”)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w:t>
      </w:r>
      <w:r>
        <w:rPr>
          <w:rFonts w:ascii="Times New Roman" w:hAnsi="Times New Roman"/>
          <w:strike/>
        </w:rPr>
        <w:t>[16]</w:t>
      </w:r>
      <w:r>
        <w:rPr>
          <w:rFonts w:ascii="Times New Roman" w:hAnsi="Times New Roman"/>
        </w:rPr>
        <w:t xml:space="preserve"> </w:t>
      </w:r>
      <w:r>
        <w:rPr>
          <w:rFonts w:ascii="Times New Roman" w:hAnsi="Times New Roman"/>
          <w:b/>
          <w:u w:val="double"/>
        </w:rPr>
        <w:t>19</w:t>
      </w:r>
      <w:r>
        <w:rPr>
          <w:rFonts w:ascii="Times New Roman" w:hAnsi="Times New Roman"/>
        </w:rPr>
        <w:t>, 2001.    In order to effectuate these arrangements, Supply, Global</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xml:space="preserve"> Counterparty </w:t>
      </w:r>
      <w:r>
        <w:rPr>
          <w:rFonts w:ascii="Times New Roman" w:hAnsi="Times New Roman"/>
          <w:strike/>
        </w:rPr>
        <w:t>and Guarantor</w:t>
      </w:r>
      <w:r>
        <w:rPr>
          <w:rFonts w:ascii="Times New Roman" w:hAnsi="Times New Roman"/>
        </w:rPr>
        <w:t xml:space="preserve"> hereby agree as follows:</w:t>
      </w:r>
    </w:p>
    <w:p>
      <w:pPr>
        <w:pStyle w:val="Normal"/>
        <w:bidi w:val="0"/>
        <w:ind w:firstLine="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 xml:space="preserve">Supply and Counterparty agree to use all reasonable efforts to negotiate, execute and deliver </w:t>
      </w:r>
      <w:r>
        <w:rPr>
          <w:rFonts w:ascii="Times New Roman" w:hAnsi="Times New Roman"/>
          <w:strike/>
        </w:rPr>
        <w:t>[</w:t>
      </w:r>
      <w:r>
        <w:rPr>
          <w:rFonts w:ascii="Times New Roman" w:hAnsi="Times New Roman"/>
        </w:rPr>
        <w:t xml:space="preserve">by April 6, 2001 </w:t>
      </w:r>
      <w:r>
        <w:rPr>
          <w:rFonts w:ascii="Times New Roman" w:hAnsi="Times New Roman"/>
          <w:strike/>
        </w:rPr>
        <w:t>]</w:t>
      </w:r>
      <w:r>
        <w:rPr>
          <w:rFonts w:ascii="Times New Roman" w:hAnsi="Times New Roman"/>
        </w:rPr>
        <mc:AlternateContent>
          <mc:Choice Requires="wps">
            <w:drawing>
              <wp:anchor behindDoc="0" distT="0" distB="0" distL="0" distR="0" simplePos="0" locked="0" layoutInCell="0" allowOverlap="1" relativeHeight="2">
                <wp:simplePos x="0" y="0"/>
                <wp:positionH relativeFrom="column">
                  <wp:posOffset>-1280160</wp:posOffset>
                </wp:positionH>
                <wp:positionV relativeFrom="paragraph">
                  <wp:posOffset>-301625</wp:posOffset>
                </wp:positionV>
                <wp:extent cx="0" cy="91440"/>
                <wp:effectExtent l="635" t="635" r="635" b="635"/>
                <wp:wrapSquare wrapText="bothSides"/>
                <wp:docPr id="1" name="Shape1"/>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1" stroked="t" o:allowincell="f" style="position:absolute">
                <v:stroke color="white" joinstyle="round" endcap="flat"/>
                <v:fill o:detectmouseclick="t" on="false"/>
                <w10:wrap type="square"/>
              </v:line>
            </w:pict>
          </mc:Fallback>
        </mc:AlternateContent>
      </w:r>
      <w:r>
        <w:rPr>
          <w:rFonts w:ascii="Times New Roman" w:hAnsi="Times New Roman"/>
        </w:rPr>
        <w:t xml:space="preserve">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bidi w:val="0"/>
        <w:ind w:hanging="0" w:start="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bidi w:val="0"/>
        <w:ind w:hanging="0" w:start="720"/>
        <w:jc w:val="start"/>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start"/>
        <w:rPr>
          <w:rFonts w:ascii="Times New Roman" w:hAnsi="Times New Roman"/>
        </w:rPr>
      </w:pPr>
      <w:r>
        <w:rPr>
          <w:rFonts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bidi w:val="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definition of “Threshold Amount” in Part 1(c) of the Schedule is deleted and replaced with the following:</w:t>
      </w:r>
      <w:r>
        <w:rPr>
          <w:rFonts w:ascii="Times New Roman" w:hAnsi="Times New Roman"/>
          <w:b/>
        </w:rPr>
        <w:t xml:space="preserve"> “Threshold Amount”</w:t>
      </w:r>
      <w:r>
        <w:rPr>
          <w:rFonts w:ascii="Times New Roman" w:hAnsi="Times New Roman"/>
        </w:rPr>
        <w:t xml:space="preserve"> means:    with respect to Party A, U.S. $50,000,000 (or its equivalent in another currency); with respect to Party B, U.S. $100,000,000 (or its equivalent in another currency); and with respect to Party B’s Credit Support Provider, U.S. $100,000,000 (or its equivalent in another currency).” </w:t>
      </w:r>
    </w:p>
    <w:p>
      <w:pPr>
        <w:pStyle w:val="Normal"/>
        <w:bidi w:val="0"/>
        <w:ind w:hanging="0" w:start="144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references to ML&amp;Co. in Part 3(b) are replaced by the words “Party A”, and the reference to “Party A” in the row which refers to the Guaranty is deleted.</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The notice information of MLCS as Party A in Part 4(a) shall be replaced with the following (or as otherwise notified to Counterparty by Supply):</w:t>
      </w:r>
    </w:p>
    <w:p>
      <w:pPr>
        <w:pStyle w:val="Normal"/>
        <w:bidi w:val="0"/>
        <w:ind w:hanging="0" w:start="2880"/>
        <w:jc w:val="start"/>
        <w:rPr>
          <w:rFonts w:ascii="Times New Roman" w:hAnsi="Times New Roman"/>
        </w:rPr>
      </w:pPr>
      <w:r>
        <w:rPr>
          <w:rFonts w:ascii="Times New Roman" w:hAnsi="Times New Roman"/>
        </w:rPr>
      </w:r>
    </w:p>
    <w:p>
      <w:pPr>
        <w:pStyle w:val="Normal"/>
        <w:bidi w:val="0"/>
        <w:ind w:hanging="1440" w:start="3600"/>
        <w:jc w:val="start"/>
        <w:rPr>
          <w:rFonts w:ascii="Times New Roman" w:hAnsi="Times New Roman"/>
        </w:rPr>
      </w:pPr>
      <w:r>
        <w:rPr>
          <w:rFonts w:ascii="Times New Roman" w:hAnsi="Times New Roman"/>
        </w:rPr>
        <w:tab/>
        <w:t>Allegheny Energy Supply Company, LLC</w:t>
      </w:r>
    </w:p>
    <w:p>
      <w:pPr>
        <w:pStyle w:val="Normal"/>
        <w:bidi w:val="0"/>
        <w:ind w:hanging="0" w:start="3600"/>
        <w:jc w:val="start"/>
        <w:rPr>
          <w:rFonts w:ascii="Times New Roman" w:hAnsi="Times New Roman"/>
        </w:rPr>
      </w:pPr>
      <w:r>
        <w:rPr>
          <w:rFonts w:ascii="Times New Roman" w:hAnsi="Times New Roman"/>
        </w:rPr>
        <w:t>Roseytown Road</w:t>
      </w:r>
    </w:p>
    <w:p>
      <w:pPr>
        <w:pStyle w:val="Normal"/>
        <w:bidi w:val="0"/>
        <w:ind w:hanging="0" w:start="3600"/>
        <w:jc w:val="start"/>
        <w:rPr>
          <w:rFonts w:ascii="Times New Roman" w:hAnsi="Times New Roman"/>
        </w:rPr>
      </w:pPr>
      <w:r>
        <w:rPr>
          <w:rFonts w:ascii="Times New Roman" w:hAnsi="Times New Roman"/>
        </w:rPr>
        <w:t>RR12 Box 1000</w:t>
      </w:r>
    </w:p>
    <w:p>
      <w:pPr>
        <w:pStyle w:val="Normal"/>
        <w:bidi w:val="0"/>
        <w:ind w:hanging="0" w:start="3600"/>
        <w:jc w:val="start"/>
        <w:rPr>
          <w:rFonts w:ascii="Times New Roman" w:hAnsi="Times New Roman"/>
        </w:rPr>
      </w:pPr>
      <w:r>
        <w:rPr>
          <w:rFonts w:ascii="Times New Roman" w:hAnsi="Times New Roman"/>
        </w:rPr>
        <w:t>Greensburg, Pennsylvania, 15601</w:t>
      </w:r>
    </w:p>
    <w:p>
      <w:pPr>
        <w:pStyle w:val="Normal"/>
        <w:bidi w:val="0"/>
        <w:ind w:hanging="0" w:start="3600"/>
        <w:jc w:val="start"/>
        <w:rPr>
          <w:rFonts w:ascii="Times New Roman" w:hAnsi="Times New Roman"/>
        </w:rPr>
      </w:pPr>
      <w:r>
        <w:rPr>
          <w:rFonts w:ascii="Times New Roman" w:hAnsi="Times New Roman"/>
        </w:rPr>
        <w:t>ATTN: Contract Administration</w:t>
      </w:r>
    </w:p>
    <w:p>
      <w:pPr>
        <w:pStyle w:val="Normal"/>
        <w:bidi w:val="0"/>
        <w:ind w:hanging="0" w:start="3600"/>
        <w:jc w:val="start"/>
        <w:rPr>
          <w:rFonts w:ascii="Times New Roman" w:hAnsi="Times New Roman"/>
        </w:rPr>
      </w:pPr>
      <w:r>
        <w:rPr>
          <w:rFonts w:ascii="Times New Roman" w:hAnsi="Times New Roman"/>
        </w:rPr>
        <w:t>Phone: (724) 853-3777</w:t>
      </w:r>
    </w:p>
    <w:p>
      <w:pPr>
        <w:pStyle w:val="Normal"/>
        <w:bidi w:val="0"/>
        <w:ind w:hanging="0" w:start="3600"/>
        <w:jc w:val="start"/>
        <w:rPr>
          <w:rFonts w:ascii="Times New Roman" w:hAnsi="Times New Roman"/>
        </w:rPr>
      </w:pPr>
      <w:r>
        <w:rPr>
          <w:rFonts w:ascii="Times New Roman" w:hAnsi="Times New Roman"/>
        </w:rPr>
        <w:t>Fax:</w:t>
        <w:tab/>
        <w:t>(724) 853-3784</w:t>
      </w:r>
    </w:p>
    <w:p>
      <w:pPr>
        <w:pStyle w:val="Normal"/>
        <w:bidi w:val="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in each place where it appears with “(whether arising under this Agreement or otherwise)”. </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4(f) the words “Guarantee of ML &amp; Co. in the form attached hereto as Exhibit A” are replaced with the words “Not Applicable”.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4(g) the words “ML &amp; Co.” are replaced with the words “Not Applicable”.</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 new Part 6 is added to the Schedule in the form attached hereto as Exhibit C.</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 xml:space="preserve">Exhibit A </w:t>
      </w:r>
      <w:r>
        <w:rPr>
          <w:rFonts w:ascii="Times New Roman" w:hAnsi="Times New Roman"/>
          <w:b/>
          <w:u w:val="double"/>
        </w:rPr>
        <w:t>of the Merrill Agreement</w:t>
      </w:r>
      <w:r>
        <w:rPr>
          <w:rFonts w:ascii="Times New Roman" w:hAnsi="Times New Roman"/>
        </w:rPr>
        <w:t xml:space="preserve"> is deleted in its entirety.</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b/>
          <w:u w:val="double"/>
        </w:rPr>
        <w:t>The text of</w:t>
      </w:r>
      <w:r>
        <w:rPr>
          <w:rFonts w:ascii="Times New Roman" w:hAnsi="Times New Roman"/>
        </w:rPr>
        <w:t xml:space="preserve"> Exhibit B </w:t>
      </w:r>
      <w:r>
        <w:rPr>
          <w:rFonts w:ascii="Times New Roman" w:hAnsi="Times New Roman"/>
          <w:b/>
          <w:u w:val="double"/>
        </w:rPr>
        <w:t>of the Merrill Agreement</w:t>
      </w:r>
      <w:r>
        <w:rPr>
          <w:rFonts w:ascii="Times New Roman" w:hAnsi="Times New Roman"/>
        </w:rPr>
        <w:t xml:space="preserve"> is deleted in its entirety and shall be replaced by a </w:t>
      </w:r>
      <w:r>
        <w:rPr>
          <w:rFonts w:ascii="Times New Roman" w:hAnsi="Times New Roman"/>
          <w:strike/>
        </w:rPr>
        <w:t>Guaranty</w:t>
      </w:r>
      <w:r>
        <w:rPr>
          <w:rFonts w:ascii="Times New Roman" w:hAnsi="Times New Roman"/>
        </w:rPr>
        <w:t xml:space="preserve"> </w:t>
      </w:r>
      <w:r>
        <w:rPr>
          <w:rFonts w:ascii="Times New Roman" w:hAnsi="Times New Roman"/>
          <w:b/>
          <w:u w:val="double"/>
        </w:rPr>
        <w:t>guaranty</w:t>
      </w:r>
      <w:r>
        <w:rPr>
          <w:rFonts w:ascii="Times New Roman" w:hAnsi="Times New Roman"/>
        </w:rPr>
        <w:t xml:space="preserve"> of Enron Corp. in the form attached hereto as Exhibit B, provided that if Enron Corp. fails to deliver </w:t>
      </w:r>
      <w:r>
        <w:rPr>
          <w:rFonts w:ascii="Times New Roman" w:hAnsi="Times New Roman"/>
          <w:strike/>
        </w:rPr>
        <w:t>the Guaranty</w:t>
      </w:r>
      <w:r>
        <w:rPr>
          <w:rFonts w:ascii="Times New Roman" w:hAnsi="Times New Roman"/>
        </w:rPr>
        <w:t xml:space="preserve"> </w:t>
      </w:r>
      <w:r>
        <w:rPr>
          <w:rFonts w:ascii="Times New Roman" w:hAnsi="Times New Roman"/>
          <w:b/>
          <w:u w:val="double"/>
        </w:rPr>
        <w:t>that guaranty</w:t>
      </w:r>
      <w:r>
        <w:rPr>
          <w:rFonts w:ascii="Times New Roman" w:hAnsi="Times New Roman"/>
        </w:rPr>
        <w:t xml:space="preserve"> by March 23, 2001, it shall be an Event of Default with respect to Counterparty under the New Agreement.</w:t>
      </w:r>
    </w:p>
    <w:p>
      <w:pPr>
        <w:pStyle w:val="Normal"/>
        <w:bidi w:val="0"/>
        <w:ind w:hanging="0" w:start="360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In Annex A, the definition of “Exposure Threshold” is deleted and replaced with the following:</w:t>
      </w:r>
    </w:p>
    <w:p>
      <w:pPr>
        <w:pStyle w:val="Normal"/>
        <w:bidi w:val="0"/>
        <w:ind w:hanging="0" w:start="1440"/>
        <w:jc w:val="start"/>
        <w:rPr>
          <w:rFonts w:ascii="Times New Roman" w:hAnsi="Times New Roman"/>
        </w:rPr>
      </w:pPr>
      <w:r>
        <w:rPr>
          <w:rFonts w:ascii="Times New Roman" w:hAnsi="Times New Roman"/>
        </w:rPr>
      </w:r>
    </w:p>
    <w:p>
      <w:pPr>
        <w:pStyle w:val="Normal"/>
        <w:bidi w:val="0"/>
        <w:ind w:hanging="0" w:start="2160"/>
        <w:jc w:val="start"/>
        <w:rPr>
          <w:rFonts w:ascii="Times New Roman" w:hAnsi="Times New Roman"/>
        </w:rPr>
      </w:pPr>
      <w:r>
        <w:rPr>
          <w:rFonts w:ascii="Times New Roman" w:hAnsi="Times New Roman"/>
        </w:rPr>
        <w:t>“</w:t>
      </w:r>
      <w:r>
        <w:rPr>
          <w:rFonts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bidi w:val="0"/>
        <w:ind w:hanging="720" w:start="216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519"/>
        <w:gridCol w:w="2139"/>
        <w:gridCol w:w="1829"/>
        <w:gridCol w:w="1900"/>
      </w:tblGrid>
      <w:tr>
        <w:trPr/>
        <w:tc>
          <w:tcPr>
            <w:tcW w:w="2519" w:type="dxa"/>
            <w:tcBorders/>
          </w:tcPr>
          <w:p>
            <w:pPr>
              <w:pStyle w:val="Normal"/>
              <w:keepNext w:val="true"/>
              <w:tabs>
                <w:tab w:val="clear" w:pos="720"/>
              </w:tabs>
              <w:bidi w:val="0"/>
              <w:jc w:val="start"/>
              <w:rPr/>
            </w:pPr>
            <w:r>
              <w:rPr>
                <w:rFonts w:ascii="Times New Roman" w:hAnsi="Times New Roman"/>
                <w:b/>
                <w:caps/>
                <w:sz w:val="20"/>
                <w:u w:val="single"/>
              </w:rPr>
              <w:t>ENRON’S THRESHOLD</w:t>
            </w:r>
          </w:p>
        </w:tc>
        <w:tc>
          <w:tcPr>
            <w:tcW w:w="2139" w:type="dxa"/>
            <w:tcBorders/>
          </w:tcPr>
          <w:p>
            <w:pPr>
              <w:pStyle w:val="Normal"/>
              <w:keepNext w:val="true"/>
              <w:tabs>
                <w:tab w:val="clear" w:pos="720"/>
              </w:tabs>
              <w:bidi w:val="0"/>
              <w:jc w:val="start"/>
              <w:rPr/>
            </w:pPr>
            <w:r>
              <w:rPr>
                <w:rFonts w:ascii="Times New Roman" w:hAnsi="Times New Roman"/>
                <w:b/>
                <w:caps/>
                <w:sz w:val="20"/>
                <w:u w:val="single"/>
              </w:rPr>
              <w:t>Counterparty’s THRESHOLD</w:t>
            </w:r>
          </w:p>
        </w:tc>
        <w:tc>
          <w:tcPr>
            <w:tcW w:w="1829" w:type="dxa"/>
            <w:tcBorders/>
          </w:tcPr>
          <w:p>
            <w:pPr>
              <w:pStyle w:val="BodyTextIndent2"/>
              <w:keepNext w:val="true"/>
              <w:bidi w:val="0"/>
              <w:ind w:hanging="0"/>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sz w:val="20"/>
              </w:rPr>
            </w:pPr>
            <w:r>
              <w:rPr>
                <w:rFonts w:ascii="Times New Roman" w:hAnsi="Times New Roman"/>
                <w:sz w:val="20"/>
              </w:rPr>
            </w:r>
          </w:p>
        </w:tc>
        <w:tc>
          <w:tcPr>
            <w:tcW w:w="1900"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519" w:type="dxa"/>
            <w:tcBorders/>
          </w:tcPr>
          <w:p>
            <w:pPr>
              <w:pStyle w:val="Normal"/>
              <w:keepNext w:val="true"/>
              <w:tabs>
                <w:tab w:val="clear" w:pos="720"/>
              </w:tabs>
              <w:bidi w:val="0"/>
              <w:jc w:val="start"/>
              <w:rPr/>
            </w:pPr>
            <w:r>
              <w:rPr>
                <w:rFonts w:ascii="Times New Roman" w:hAnsi="Times New Roman"/>
                <w:sz w:val="22"/>
              </w:rPr>
              <w:t>U.S. $25,000,000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$15,000,000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 (or above)</w:t>
            </w:r>
          </w:p>
        </w:tc>
        <w:tc>
          <w:tcPr>
            <w:tcW w:w="1900" w:type="dxa"/>
            <w:tcBorders/>
          </w:tcPr>
          <w:p>
            <w:pPr>
              <w:pStyle w:val="Normal"/>
              <w:keepNext w:val="true"/>
              <w:tabs>
                <w:tab w:val="clear" w:pos="720"/>
              </w:tabs>
              <w:bidi w:val="0"/>
              <w:jc w:val="start"/>
              <w:rPr/>
            </w:pPr>
            <w:r>
              <w:rPr>
                <w:rFonts w:ascii="Times New Roman" w:hAnsi="Times New Roman"/>
                <w:sz w:val="22"/>
              </w:rPr>
              <w:t>Baa1 (or above)</w:t>
            </w:r>
          </w:p>
        </w:tc>
      </w:tr>
      <w:tr>
        <w:trPr/>
        <w:tc>
          <w:tcPr>
            <w:tcW w:w="2519" w:type="dxa"/>
            <w:tcBorders/>
          </w:tcPr>
          <w:p>
            <w:pPr>
              <w:pStyle w:val="Normal"/>
              <w:keepNext w:val="true"/>
              <w:tabs>
                <w:tab w:val="clear" w:pos="720"/>
              </w:tabs>
              <w:bidi w:val="0"/>
              <w:jc w:val="start"/>
              <w:rPr/>
            </w:pPr>
            <w:r>
              <w:rPr>
                <w:rFonts w:ascii="Times New Roman" w:hAnsi="Times New Roman"/>
                <w:sz w:val="22"/>
              </w:rPr>
              <w:t>U.S. $20,000,000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$10,000,000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w:t>
            </w:r>
          </w:p>
        </w:tc>
        <w:tc>
          <w:tcPr>
            <w:tcW w:w="1900" w:type="dxa"/>
            <w:tcBorders/>
          </w:tcPr>
          <w:p>
            <w:pPr>
              <w:pStyle w:val="Normal"/>
              <w:keepNext w:val="true"/>
              <w:tabs>
                <w:tab w:val="clear" w:pos="720"/>
              </w:tabs>
              <w:bidi w:val="0"/>
              <w:jc w:val="start"/>
              <w:rPr/>
            </w:pPr>
            <w:r>
              <w:rPr>
                <w:rFonts w:ascii="Times New Roman" w:hAnsi="Times New Roman"/>
                <w:sz w:val="22"/>
              </w:rPr>
              <w:t>Baa2</w:t>
            </w:r>
          </w:p>
        </w:tc>
      </w:tr>
      <w:tr>
        <w:trPr/>
        <w:tc>
          <w:tcPr>
            <w:tcW w:w="2519" w:type="dxa"/>
            <w:tcBorders/>
          </w:tcPr>
          <w:p>
            <w:pPr>
              <w:pStyle w:val="Normal"/>
              <w:keepNext w:val="true"/>
              <w:tabs>
                <w:tab w:val="clear" w:pos="720"/>
              </w:tabs>
              <w:bidi w:val="0"/>
              <w:jc w:val="start"/>
              <w:rPr/>
            </w:pPr>
            <w:r>
              <w:rPr>
                <w:rFonts w:ascii="Times New Roman" w:hAnsi="Times New Roman"/>
                <w:sz w:val="22"/>
              </w:rPr>
              <w:t>U.S. $10,000,000</w:t>
            </w:r>
          </w:p>
        </w:tc>
        <w:tc>
          <w:tcPr>
            <w:tcW w:w="2139" w:type="dxa"/>
            <w:tcBorders/>
          </w:tcPr>
          <w:p>
            <w:pPr>
              <w:pStyle w:val="Normal"/>
              <w:keepNext w:val="true"/>
              <w:tabs>
                <w:tab w:val="clear" w:pos="720"/>
              </w:tabs>
              <w:bidi w:val="0"/>
              <w:ind w:hanging="0" w:start="-18"/>
              <w:jc w:val="start"/>
              <w:rPr/>
            </w:pPr>
            <w:r>
              <w:rPr>
                <w:rFonts w:ascii="Times New Roman" w:hAnsi="Times New Roman"/>
                <w:sz w:val="22"/>
              </w:rPr>
              <w:t>U.S. $5,000,000</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BBB-</w:t>
            </w:r>
          </w:p>
        </w:tc>
        <w:tc>
          <w:tcPr>
            <w:tcW w:w="1900" w:type="dxa"/>
            <w:tcBorders/>
          </w:tcPr>
          <w:p>
            <w:pPr>
              <w:pStyle w:val="Normal"/>
              <w:keepNext w:val="true"/>
              <w:tabs>
                <w:tab w:val="clear" w:pos="720"/>
              </w:tabs>
              <w:bidi w:val="0"/>
              <w:jc w:val="start"/>
              <w:rPr/>
            </w:pPr>
            <w:r>
              <w:rPr>
                <w:rFonts w:ascii="Times New Roman" w:hAnsi="Times New Roman"/>
                <w:sz w:val="22"/>
              </w:rPr>
              <w:t>Baa3</w:t>
            </w:r>
          </w:p>
        </w:tc>
      </w:tr>
      <w:tr>
        <w:trPr/>
        <w:tc>
          <w:tcPr>
            <w:tcW w:w="2519" w:type="dxa"/>
            <w:tcBorders/>
          </w:tcPr>
          <w:p>
            <w:pPr>
              <w:pStyle w:val="Normal"/>
              <w:keepNext w:val="true"/>
              <w:tabs>
                <w:tab w:val="clear" w:pos="720"/>
              </w:tabs>
              <w:bidi w:val="0"/>
              <w:jc w:val="center"/>
              <w:rPr/>
            </w:pPr>
            <w:r>
              <w:rPr>
                <w:rFonts w:ascii="Times New Roman" w:hAnsi="Times New Roman"/>
                <w:sz w:val="22"/>
              </w:rPr>
              <w:t>- 0 -</w:t>
            </w:r>
          </w:p>
        </w:tc>
        <w:tc>
          <w:tcPr>
            <w:tcW w:w="2139" w:type="dxa"/>
            <w:tcBorders/>
          </w:tcPr>
          <w:p>
            <w:pPr>
              <w:pStyle w:val="Normal"/>
              <w:keepNext w:val="true"/>
              <w:tabs>
                <w:tab w:val="clear" w:pos="720"/>
              </w:tabs>
              <w:bidi w:val="0"/>
              <w:ind w:hanging="0" w:start="-18"/>
              <w:jc w:val="center"/>
              <w:rPr/>
            </w:pPr>
            <w:r>
              <w:rPr>
                <w:rFonts w:ascii="Times New Roman" w:hAnsi="Times New Roman"/>
                <w:sz w:val="22"/>
              </w:rPr>
              <w:t>- 0 -</w:t>
            </w:r>
          </w:p>
        </w:tc>
        <w:tc>
          <w:tcPr>
            <w:tcW w:w="1829" w:type="dxa"/>
            <w:tcBorders/>
          </w:tcPr>
          <w:p>
            <w:pPr>
              <w:pStyle w:val="Normal"/>
              <w:keepNext w:val="true"/>
              <w:tabs>
                <w:tab w:val="clear" w:pos="720"/>
              </w:tabs>
              <w:bidi w:val="0"/>
              <w:ind w:hanging="0" w:start="-18"/>
              <w:jc w:val="start"/>
              <w:rPr/>
            </w:pPr>
            <w:r>
              <w:rPr>
                <w:rFonts w:ascii="Times New Roman" w:hAnsi="Times New Roman"/>
                <w:sz w:val="22"/>
              </w:rPr>
              <w:t>Below BBB-</w:t>
            </w:r>
          </w:p>
        </w:tc>
        <w:tc>
          <w:tcPr>
            <w:tcW w:w="1900" w:type="dxa"/>
            <w:tcBorders/>
          </w:tcPr>
          <w:p>
            <w:pPr>
              <w:pStyle w:val="Normal"/>
              <w:keepNext w:val="true"/>
              <w:tabs>
                <w:tab w:val="clear" w:pos="720"/>
              </w:tabs>
              <w:bidi w:val="0"/>
              <w:jc w:val="start"/>
              <w:rPr/>
            </w:pPr>
            <w:r>
              <w:rPr>
                <w:rFonts w:ascii="Times New Roman" w:hAnsi="Times New Roman"/>
                <w:sz w:val="22"/>
              </w:rPr>
              <w:t>Below Baa3</w:t>
            </w:r>
          </w:p>
        </w:tc>
      </w:tr>
    </w:tbl>
    <w:p>
      <w:pPr>
        <w:pStyle w:val="Normal"/>
        <w:keepNext w:val="true"/>
        <w:bidi w:val="0"/>
        <w:ind w:hanging="720" w:start="2160"/>
        <w:jc w:val="both"/>
        <w:rPr>
          <w:sz w:val="22"/>
        </w:rPr>
      </w:pPr>
      <w:r>
        <w:rPr>
          <w:sz w:val="22"/>
        </w:rPr>
      </w:r>
    </w:p>
    <w:p>
      <w:pPr>
        <w:pStyle w:val="Normal"/>
        <w:bidi w:val="0"/>
        <w:ind w:hanging="0" w:start="216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Paragraph (b)(i) of Section II of Annex A is amended by deleting the words “</w:t>
      </w:r>
      <w:r>
        <w:rPr>
          <w:rFonts w:ascii="Times New Roman" w:hAnsi="Times New Roman"/>
          <w:u w:val="single"/>
        </w:rPr>
        <w:t>plus</w:t>
      </w:r>
      <w:r>
        <w:rPr>
          <w:rFonts w:ascii="Times New Roman" w:hAnsi="Times New Roman"/>
        </w:rPr>
        <w:t xml:space="preserve"> if the party having the greater Net Exposure is rated below BBB- or Baa3, $5,000,000”.</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Section 3, paragraph (a) of Annex A is amended to replace the reference to $100,000 with $250,000.</w:t>
      </w:r>
    </w:p>
    <w:p>
      <w:pPr>
        <w:pStyle w:val="Normal"/>
        <w:bidi w:val="0"/>
        <w:ind w:hanging="0" w:start="1440"/>
        <w:jc w:val="start"/>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start"/>
        <w:rPr>
          <w:rFonts w:ascii="Times New Roman" w:hAnsi="Times New Roman"/>
        </w:rPr>
      </w:pPr>
      <w:r>
        <w:rPr>
          <w:rFonts w:ascii="Times New Roman" w:hAnsi="Times New Roman"/>
        </w:rPr>
        <w:t>Notwithstanding anything to the contrary in the Merrill Agreement, the New Agreement is entered into and is effective as of the date hereof.</w:t>
      </w:r>
    </w:p>
    <w:p>
      <w:pPr>
        <w:pStyle w:val="Normal"/>
        <w:bidi w:val="0"/>
        <w:ind w:hanging="0" w:start="720"/>
        <w:jc w:val="start"/>
        <w:rPr>
          <w:rFonts w:ascii="Times New Roman" w:hAnsi="Times New Roman"/>
        </w:rPr>
      </w:pPr>
      <w:r>
        <w:rPr>
          <w:rFonts w:ascii="Times New Roman" w:hAnsi="Times New Roman"/>
        </w:rPr>
      </w:r>
    </w:p>
    <w:p>
      <w:pPr>
        <w:pStyle w:val="BodyText5LAs5"/>
        <w:bidi w:val="0"/>
        <w:spacing w:before="0" w:after="0"/>
        <w:jc w:val="start"/>
        <w:rPr>
          <w:rFonts w:ascii="Times New Roman" w:hAnsi="Times New Roman"/>
        </w:rPr>
      </w:pPr>
      <w:r>
        <w:rPr>
          <w:rFonts w:ascii="Times New Roman" w:hAnsi="Times New Roman"/>
        </w:rPr>
        <w:t>This letter, together with the attached Merrill Agreement, as modified herein, evidences a complete and binding agreement between Supply and Counterparty.</w:t>
      </w:r>
    </w:p>
    <w:p>
      <w:pPr>
        <w:pStyle w:val="BodyText5LAs5"/>
        <w:bidi w:val="0"/>
        <w:spacing w:before="0" w:after="0"/>
        <w:jc w:val="start"/>
        <w:rPr>
          <w:rFonts w:ascii="Times New Roman" w:hAnsi="Times New Roman"/>
        </w:rPr>
      </w:pPr>
      <w:r>
        <w:rPr>
          <w:rFonts w:ascii="Times New Roman" w:hAnsi="Times New Roman"/>
        </w:rPr>
      </w:r>
    </w:p>
    <w:p>
      <w:pPr>
        <w:sectPr>
          <w:footerReference w:type="even" r:id="rId2"/>
          <w:footerReference w:type="default" r:id="rId3"/>
          <w:footerReference w:type="first" r:id="rId4"/>
          <w:type w:val="nextPage"/>
          <w:pgSz w:w="12240" w:h="15840"/>
          <w:pgMar w:left="2160" w:right="1440" w:gutter="0" w:header="0" w:top="1915" w:footer="720" w:bottom="965"/>
          <w:pgNumType w:fmt="decimal"/>
          <w:formProt w:val="false"/>
          <w:titlePg/>
          <w:textDirection w:val="lrTb"/>
          <w:docGrid w:type="default" w:linePitch="100" w:charSpace="0"/>
        </w:sectPr>
        <w:pStyle w:val="BodyText5LAs5"/>
        <w:bidi w:val="0"/>
        <w:spacing w:before="0" w:after="0"/>
        <w:jc w:val="start"/>
        <w:rPr>
          <w:rFonts w:ascii="Times New Roman" w:hAnsi="Times New Roman"/>
        </w:rPr>
      </w:pPr>
      <w:r>
        <w:rPr>
          <w:rFonts w:ascii="Times New Roman" w:hAnsi="Times New Roman"/>
        </w:rPr>
        <w:t xml:space="preserve">This letter shall be governed by and construed in accordance with the laws of the State of New York </w:t>
      </w:r>
      <w:r>
        <w:rPr>
          <w:rFonts w:ascii="Times New Roman" w:hAnsi="Times New Roman"/>
          <w:strike/>
        </w:rPr>
        <w:t>applicable to agreements made and to be performed entirely within such state</w:t>
      </w:r>
      <w:r>
        <w:rPr>
          <w:rFonts w:ascii="Times New Roman" w:hAnsi="Times New Roman"/>
        </w:rPr>
        <w:t xml:space="preserve"> </w:t>
      </w:r>
      <w:r>
        <w:rPr>
          <w:rFonts w:ascii="Times New Roman" w:hAnsi="Times New Roman"/>
          <w:b/>
          <w:u w:val="double"/>
        </w:rPr>
        <w:t>and, with respect to choice of law principles, in accordance with Section 5-1401 of the New York General Obligation Laws</w:t>
      </w:r>
      <w:r>
        <w:rPr>
          <w:rFonts w:ascii="Times New Roman" w:hAnsi="Times New Roman"/>
        </w:rPr>
        <w:t>.</w:t>
      </w:r>
    </w:p>
    <w:p>
      <w:pPr>
        <w:pStyle w:val="Normal"/>
        <w:bidi w:val="0"/>
        <w:ind w:firstLine="720"/>
        <w:jc w:val="start"/>
        <w:rPr>
          <w:rFonts w:ascii="Times New Roman" w:hAnsi="Times New Roman"/>
        </w:rPr>
      </w:pPr>
      <w:r>
        <w:rPr>
          <w:rFonts w:ascii="Times New Roman" w:hAnsi="Times New Roman"/>
        </w:rPr>
        <w:t>Please acknowledge your acceptance of and agreement with the foregoing by returning a signed copy of this letter to the undersigned.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ab/>
        <w:tab/>
        <w:tab/>
        <w:tab/>
      </w:r>
    </w:p>
    <w:p>
      <w:pPr>
        <w:pStyle w:val="Normal"/>
        <w:bidi w:val="0"/>
        <w:ind w:firstLine="720" w:start="5040"/>
        <w:jc w:val="start"/>
        <w:rPr>
          <w:rFonts w:ascii="Times New Roman" w:hAnsi="Times New Roman"/>
          <w:b/>
        </w:rPr>
      </w:pPr>
      <w:r>
        <w:rPr>
          <w:rFonts w:ascii="Times New Roman" w:hAnsi="Times New Roman"/>
          <w:b/>
        </w:rPr>
        <w:t xml:space="preserve">ALLEGHENY ENERGY </w:t>
      </w:r>
    </w:p>
    <w:p>
      <w:pPr>
        <w:pStyle w:val="Normal"/>
        <w:bidi w:val="0"/>
        <w:ind w:firstLine="720" w:start="5040"/>
        <w:jc w:val="start"/>
        <w:rPr>
          <w:rFonts w:ascii="Times New Roman" w:hAnsi="Times New Roman"/>
          <w:b/>
        </w:rPr>
      </w:pPr>
      <w:r>
        <w:rPr>
          <w:rFonts w:ascii="Times New Roman" w:hAnsi="Times New Roman"/>
          <w:b/>
        </w:rPr>
        <w:t>SUPPLY COMPANY, LLC</w:t>
      </w:r>
    </w:p>
    <w:p>
      <w:pPr>
        <w:pStyle w:val="Normal"/>
        <w:bidi w:val="0"/>
        <w:jc w:val="start"/>
        <w:rPr>
          <w:rFonts w:ascii="Times New Roman" w:hAnsi="Times New Roman"/>
          <w:b/>
        </w:rPr>
      </w:pPr>
      <w:r>
        <w:rPr>
          <w:rFonts w:ascii="Times New Roman" w:hAnsi="Times New Roman"/>
          <w:b/>
        </w:rPr>
      </w:r>
    </w:p>
    <w:p>
      <w:pPr>
        <w:pStyle w:val="Normal"/>
        <w:bidi w:val="0"/>
        <w:jc w:val="start"/>
        <w:rPr>
          <w:rFonts w:ascii="Times New Roman" w:hAnsi="Times New Roman"/>
        </w:rPr>
      </w:pPr>
      <w:r>
        <w:rPr>
          <w:rFonts w:ascii="Times New Roman" w:hAnsi="Times New Roman"/>
        </w:rPr>
      </w:r>
    </w:p>
    <w:p>
      <w:pPr>
        <w:pStyle w:val="Normal"/>
        <w:bidi w:val="0"/>
        <w:ind w:firstLine="720" w:start="2160"/>
        <w:jc w:val="start"/>
        <w:rPr>
          <w:rFonts w:ascii="Times New Roman" w:hAnsi="Times New Roman"/>
        </w:rPr>
      </w:pPr>
      <w:r>
        <w:rPr>
          <w:rFonts w:ascii="Times New Roman" w:hAnsi="Times New Roman"/>
        </w:rPr>
        <w:tab/>
        <w:tab/>
        <w:tab/>
        <w:tab/>
        <w:t>By:_____________________</w:t>
      </w:r>
    </w:p>
    <w:p>
      <w:pPr>
        <w:pStyle w:val="Normal"/>
        <w:bidi w:val="0"/>
        <w:jc w:val="start"/>
        <w:rPr>
          <w:rFonts w:ascii="Times New Roman" w:hAnsi="Times New Roman"/>
        </w:rPr>
      </w:pPr>
      <w:r>
        <w:rPr>
          <w:rFonts w:ascii="Times New Roman" w:hAnsi="Times New Roman"/>
        </w:rPr>
        <w:tab/>
        <w:tab/>
        <w:tab/>
        <w:tab/>
        <w:tab/>
        <w:tab/>
        <w:tab/>
        <w:tab/>
        <w:t>          Name:</w:t>
      </w:r>
    </w:p>
    <w:p>
      <w:pPr>
        <w:pStyle w:val="Normal"/>
        <w:bidi w:val="0"/>
        <w:jc w:val="start"/>
        <w:rPr>
          <w:rFonts w:ascii="Times New Roman" w:hAnsi="Times New Roman"/>
        </w:rPr>
      </w:pPr>
      <w:r>
        <w:rPr>
          <w:rFonts w:ascii="Times New Roman" w:hAnsi="Times New Roman"/>
        </w:rPr>
        <w:tab/>
        <w:tab/>
        <w:tab/>
        <w:tab/>
        <w:t xml:space="preserve">          </w:t>
        <w:tab/>
        <w:tab/>
        <w:tab/>
        <w:tab/>
        <w:t>          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ab/>
        <w:tab/>
        <w:tab/>
        <w:tab/>
      </w:r>
    </w:p>
    <w:p>
      <w:pPr>
        <w:pStyle w:val="Normal"/>
        <w:bidi w:val="0"/>
        <w:ind w:hanging="0" w:start="5760"/>
        <w:jc w:val="start"/>
        <w:rPr>
          <w:rFonts w:ascii="Times New Roman" w:hAnsi="Times New Roman"/>
          <w:b/>
        </w:rPr>
      </w:pPr>
      <w:r>
        <w:rPr>
          <w:rFonts w:ascii="Times New Roman" w:hAnsi="Times New Roman"/>
          <w:b/>
        </w:rPr>
        <w:t>ALLEGHENY ENERGY GLOBAL MARKETS, LLC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ind w:firstLine="720" w:start="2160"/>
        <w:jc w:val="start"/>
        <w:rPr>
          <w:rFonts w:ascii="Times New Roman" w:hAnsi="Times New Roman"/>
        </w:rPr>
      </w:pPr>
      <w:r>
        <w:rPr>
          <w:rFonts w:ascii="Times New Roman" w:hAnsi="Times New Roman"/>
        </w:rPr>
        <w:tab/>
        <w:tab/>
        <w:tab/>
        <w:tab/>
        <w:t>By:_____________________</w:t>
      </w:r>
    </w:p>
    <w:p>
      <w:pPr>
        <w:pStyle w:val="Normal"/>
        <w:bidi w:val="0"/>
        <w:jc w:val="start"/>
        <w:rPr>
          <w:rFonts w:ascii="Times New Roman" w:hAnsi="Times New Roman"/>
        </w:rPr>
      </w:pPr>
      <w:r>
        <w:rPr>
          <w:rFonts w:ascii="Times New Roman" w:hAnsi="Times New Roman"/>
        </w:rPr>
        <w:tab/>
        <w:tab/>
        <w:tab/>
        <w:tab/>
        <w:tab/>
        <w:tab/>
        <w:tab/>
        <w:tab/>
        <w:t>          Name:</w:t>
      </w:r>
    </w:p>
    <w:p>
      <w:pPr>
        <w:pStyle w:val="Normal"/>
        <w:bidi w:val="0"/>
        <w:jc w:val="start"/>
        <w:rPr>
          <w:rFonts w:ascii="Times New Roman" w:hAnsi="Times New Roman"/>
        </w:rPr>
      </w:pPr>
      <w:r>
        <w:rPr>
          <w:rFonts w:ascii="Times New Roman" w:hAnsi="Times New Roman"/>
        </w:rPr>
        <w:tab/>
        <w:tab/>
        <w:tab/>
        <w:tab/>
        <w:t xml:space="preserve">          </w:t>
        <w:tab/>
        <w:tab/>
        <w:tab/>
        <w:tab/>
        <w:t>          Title: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Accepted and agreed as of the date first above written:</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b/>
        </w:rPr>
      </w:pPr>
      <w:r>
        <w:rPr>
          <w:rFonts w:ascii="Times New Roman" w:hAnsi="Times New Roman"/>
          <w:b/>
        </w:rPr>
        <w:t>ENRON NORTH AMERICA CORP.</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By:___________________</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Name:</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Title:</w:t>
      </w:r>
    </w:p>
    <w:p>
      <w:pPr>
        <w:sectPr>
          <w:footerReference w:type="default" r:id="rId5"/>
          <w:footerReference w:type="first" r:id="rId6"/>
          <w:type w:val="nextPage"/>
          <w:pgSz w:w="12240" w:h="15840"/>
          <w:pgMar w:left="2160" w:right="1440" w:gutter="0" w:header="0" w:top="1915" w:footer="720" w:bottom="965"/>
          <w:pgNumType w:fmt="decimal"/>
          <w:formProt w:val="false"/>
          <w:titlePg/>
          <w:textDirection w:val="lrTb"/>
          <w:docGrid w:type="default" w:linePitch="100" w:charSpace="0"/>
        </w:sectPr>
        <w:pStyle w:val="Normal"/>
        <w:bidi w:val="0"/>
        <w:jc w:val="start"/>
        <w:rPr>
          <w:rFonts w:ascii="Times New Roman" w:hAnsi="Times New Roman"/>
        </w:rPr>
      </w:pPr>
      <w:r>
        <w:rPr>
          <w:rFonts w:ascii="Times New Roman" w:hAnsi="Times New Roman"/>
        </w:rPr>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u w:val="double"/>
        </w:rPr>
      </w:pPr>
      <w:r>
        <w:rPr>
          <w:rFonts w:ascii="Times New Roman" w:hAnsi="Times New Roman"/>
          <w:b/>
          <w:strike/>
          <w:sz w:val="22"/>
        </w:rPr>
        <w:t>Exhibit C</w:t>
      </w:r>
      <w:r>
        <w:rPr>
          <w:rFonts w:ascii="Times New Roman" w:hAnsi="Times New Roman"/>
          <w:b/>
          <w:sz w:val="22"/>
        </w:rPr>
        <w:t xml:space="preserve"> </w:t>
      </w:r>
      <w:r>
        <w:rPr>
          <w:rFonts w:ascii="Times New Roman" w:hAnsi="Times New Roman"/>
          <w:b/>
          <w:sz w:val="22"/>
          <w:u w:val="double"/>
        </w:rPr>
        <w:t>ENRON CORP.</w:t>
      </w:r>
    </w:p>
    <w:p>
      <w:pPr>
        <w:pStyle w:val="Normal"/>
        <w:bidi w:val="0"/>
        <w:spacing w:lineRule="exact" w:line="240"/>
        <w:ind w:end="180"/>
        <w:jc w:val="center"/>
        <w:rPr>
          <w:rFonts w:ascii="Times New Roman" w:hAnsi="Times New Roman"/>
          <w:b/>
          <w:sz w:val="22"/>
          <w:u w:val="double"/>
        </w:rPr>
      </w:pPr>
      <w:r>
        <w:rPr>
          <w:rFonts w:ascii="Times New Roman" w:hAnsi="Times New Roman"/>
          <w:b/>
          <w:sz w:val="22"/>
          <w:u w:val="double"/>
        </w:rPr>
      </w:r>
    </w:p>
    <w:p>
      <w:pPr>
        <w:pStyle w:val="Normal"/>
        <w:bidi w:val="0"/>
        <w:spacing w:lineRule="exact" w:line="240"/>
        <w:ind w:end="180"/>
        <w:jc w:val="center"/>
        <w:rPr>
          <w:rFonts w:ascii="Times New Roman" w:hAnsi="Times New Roman"/>
          <w:b/>
          <w:sz w:val="22"/>
          <w:u w:val="double"/>
        </w:rPr>
      </w:pPr>
      <w:r>
        <w:rPr>
          <w:rFonts w:ascii="Times New Roman" w:hAnsi="Times New Roman"/>
          <w:b/>
          <w:sz w:val="22"/>
          <w:u w:val="double"/>
        </w:rPr>
        <w:t>Guaranty</w:t>
      </w:r>
    </w:p>
    <w:p>
      <w:pPr>
        <w:pStyle w:val="Normal"/>
        <w:bidi w:val="0"/>
        <w:spacing w:lineRule="exact" w:line="48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 xml:space="preserve">This Guaranty (this “Guaranty”), dated effective as of March 19, 2001 (the “Effective Date”), is made and entered into by </w:t>
      </w:r>
      <w:r>
        <w:rPr>
          <w:rFonts w:ascii="Times New Roman" w:hAnsi="Times New Roman"/>
          <w:b/>
          <w:caps/>
          <w:sz w:val="22"/>
          <w:u w:val="double"/>
        </w:rPr>
        <w:t>Enron Corp.</w:t>
      </w:r>
      <w:r>
        <w:rPr>
          <w:rFonts w:ascii="Times New Roman" w:hAnsi="Times New Roman"/>
          <w:b/>
          <w:sz w:val="22"/>
          <w:u w:val="double"/>
        </w:rPr>
        <w:t>, an Oregon corporation (“Guarantor”).</w:t>
      </w:r>
    </w:p>
    <w:p>
      <w:pPr>
        <w:pStyle w:val="Normal"/>
        <w:keepNext w:val="true"/>
        <w:bidi w:val="0"/>
        <w:spacing w:lineRule="exact" w:line="240" w:before="480" w:after="0"/>
        <w:jc w:val="center"/>
        <w:rPr>
          <w:rFonts w:ascii="Times New Roman" w:hAnsi="Times New Roman"/>
          <w:b/>
          <w:caps/>
          <w:sz w:val="22"/>
          <w:u w:val="double"/>
        </w:rPr>
      </w:pPr>
      <w:r>
        <w:rPr>
          <w:rFonts w:ascii="Times New Roman" w:hAnsi="Times New Roman"/>
          <w:b/>
          <w:caps/>
          <w:sz w:val="22"/>
          <w:u w:val="double"/>
        </w:rPr>
        <w:t>W I T N E S S E T H:</w:t>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 xml:space="preserve">WHEREAS, </w:t>
      </w:r>
      <w:r>
        <w:rPr>
          <w:rFonts w:ascii="Times New Roman" w:hAnsi="Times New Roman"/>
          <w:b/>
          <w:caps/>
          <w:sz w:val="22"/>
          <w:u w:val="double"/>
        </w:rPr>
        <w:t>Allegheny Energy Supply Company, LLC</w:t>
      </w:r>
      <w:r>
        <w:rPr>
          <w:rFonts w:ascii="Times New Roman" w:hAnsi="Times New Roman"/>
          <w:b/>
          <w:sz w:val="22"/>
          <w:u w:val="double"/>
        </w:rPr>
        <w:t>, a Delaware limited liability company (“Counterparty”), and ENRON NORTH AMERICA CORP. (“Enron”), a wholly owned subsidiary of Guarantor, are contemplating entering into, or have entered into,    one or more swap, option or other derivative transactions, which transactions will be evidenced by one or more swap agreements, confirmations and/or master agreements, (all such swap, option or other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WHEREAS, Guarantor will directly or indirectly benefit from the transactions that have been and are to be entered into between Enron and Counterparty;</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is in addition to, and does not limit, any other guaranty.    This Guaranty shall continue to be effective notwithstanding any legal disability of the Debtor to incur the indebtedness or obligation, in whole or in part.    The liability of Guarantor under this Guaranty shall be subject to the following:</w:t>
      </w:r>
    </w:p>
    <w:p>
      <w:pPr>
        <w:pStyle w:val="BodyTextIndent3"/>
        <w:bidi w:val="0"/>
        <w:spacing w:lineRule="exact" w:line="240" w:before="240" w:after="0"/>
        <w:rPr>
          <w:rFonts w:ascii="Times New Roman" w:hAnsi="Times New Roman"/>
          <w:b/>
          <w:u w:val="double"/>
        </w:rPr>
      </w:pPr>
      <w:r>
        <w:rPr>
          <w:rFonts w:ascii="Times New Roman" w:hAnsi="Times New Roman"/>
          <w:b/>
          <w:u w:val="doubl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Furthermore, Guarantor shall not be liable to the Guaranteed Party for damages in the form of interest with respect to any payments which may become due hereunder provided that Guarantor makes such payments within 48 hours of a Payment Demand.</w:t>
      </w:r>
    </w:p>
    <w:p>
      <w:pPr>
        <w:pStyle w:val="BodyTextIndent3"/>
        <w:bidi w:val="0"/>
        <w:spacing w:lineRule="exact" w:line="240" w:before="240" w:after="0"/>
        <w:rPr>
          <w:rFonts w:ascii="Times New Roman" w:hAnsi="Times New Roman"/>
          <w:b/>
          <w:u w:val="double"/>
        </w:rPr>
      </w:pPr>
      <w:r>
        <w:rPr>
          <w:rFonts w:ascii="Times New Roman" w:hAnsi="Times New Roman"/>
          <w:b/>
          <w:u w:val="double"/>
        </w:rPr>
        <w:t>(b)    The aggregate amount covered by this Guaranty shall not exceed U.S. $30,000,000.</w:t>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2.    DEMANDS AND NOTICE. If Enron fails or refuses to pay any Obligations and Counterparty has elected to exercise its rights under this Guaranty, Counterparty shall notify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keepNext w:val="true"/>
        <w:bidi w:val="0"/>
        <w:spacing w:lineRule="atLeast" w:line="240"/>
        <w:ind w:firstLine="720"/>
        <w:jc w:val="both"/>
        <w:rPr>
          <w:rFonts w:ascii="Times New Roman" w:hAnsi="Times New Roman"/>
          <w:b/>
          <w:sz w:val="22"/>
          <w:u w:val="double"/>
        </w:rPr>
      </w:pPr>
      <w:r>
        <w:rPr>
          <w:rFonts w:ascii="Times New Roman" w:hAnsi="Times New Roman"/>
          <w:b/>
          <w:sz w:val="22"/>
          <w:u w:val="double"/>
        </w:rPr>
        <w:t>3.    REPRESENTATIONS AND WARRANTIES.    Guarantor represents and warrants that:</w:t>
      </w:r>
    </w:p>
    <w:p>
      <w:pPr>
        <w:pStyle w:val="Normal"/>
        <w:keepNext w:val="true"/>
        <w:bidi w:val="0"/>
        <w:spacing w:lineRule="exact" w:line="240" w:before="240" w:after="0"/>
        <w:ind w:firstLine="630" w:start="810"/>
        <w:jc w:val="both"/>
        <w:rPr>
          <w:rFonts w:ascii="Times New Roman" w:hAnsi="Times New Roman"/>
          <w:b/>
          <w:sz w:val="22"/>
          <w:u w:val="double"/>
        </w:rPr>
      </w:pPr>
      <w:r>
        <w:rPr>
          <w:rFonts w:ascii="Times New Roman" w:hAnsi="Times New Roman"/>
          <w:b/>
          <w:sz w:val="22"/>
          <w:u w:val="double"/>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b/>
          <w:sz w:val="22"/>
          <w:u w:val="double"/>
        </w:rPr>
      </w:pPr>
      <w:r>
        <w:rPr>
          <w:rFonts w:ascii="Times New Roman" w:hAnsi="Times New Roman"/>
          <w:b/>
          <w:sz w:val="22"/>
          <w:u w:val="doubl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b/>
          <w:sz w:val="22"/>
          <w:u w:val="double"/>
        </w:rPr>
      </w:pPr>
      <w:r>
        <w:rPr>
          <w:rFonts w:ascii="Times New Roman" w:hAnsi="Times New Roman"/>
          <w:b/>
          <w:sz w:val="22"/>
          <w:u w:val="doubl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exact" w:line="240" w:before="240" w:after="0"/>
        <w:ind w:firstLine="720" w:start="720"/>
        <w:jc w:val="both"/>
        <w:rPr>
          <w:rFonts w:ascii="Times New Roman" w:hAnsi="Times New Roman"/>
          <w:b/>
          <w:sz w:val="22"/>
          <w:u w:val="double"/>
        </w:rPr>
      </w:pPr>
      <w:r>
        <w:rPr>
          <w:rFonts w:ascii="Times New Roman" w:hAnsi="Times New Roman"/>
          <w:b/>
          <w:sz w:val="22"/>
          <w:u w:val="double"/>
        </w:rPr>
        <w:t>(d)    this Guaranty does not contravene the Amended and Restated Articles of Incorporation or by-laws of Guarantor or any law or material (“material” for the purposes of this representation meaning creating a liability of $100,000,000 or more) contractual restriction binding on or effective as to Guarantor.</w:t>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 xml:space="preserve">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or expressly waived hereby. </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5.    AMENDMENT OF GUARANTY. 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6.    WAIVERS.    Except as required in Section 2 above, Guarantor hereby waives (a) notice of acceptance of this Guaranty; (b) presentment to and demand for payment with respect to the liabilities of Guarantor; and (c) any right to require that any action or proceeding be brought against Enron or any other person, or to require that Counterparty seek enforcement of any performance against Enron or any other person or exhaust any security held by Guaranteed Party for Enron’s account, prior or to any action against Guarantor under the terms hereof; and (d) all other notices whatsoever.    In the event of default by Enron under the Contract, the Guaranteed Party shall have the exclusive right to determine how, when, and what application of payments, set offs and credits, shall be made under the Contract.</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Except as to applicable statutes of limitation, no failure or delay of Counterparty in the exercise of, or failure to exercise, any rights or remedies hereunder shall operate as a waiver of such rights, a waiver of any other rights or a release of Guarantor from any obligations hereunder,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Guarantor consents to the renewal, compromise, extension, acceleration or other changes in the time of payment of or other changes in the terms of the Obligations, or any part thereof or any changes or modifications to the terms of the Contract and any such actions shall not affect Guarantor’s liability hereunder in any manner as long as this Guaranty is in force.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Liability under this Guaranty shall commence as of the Effective Date.    This Guaranty is a continuing guaranty, without limitation as to duration, which shall remain in full force and effect so long as the Contract is in existence, provided, however, that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Obligations created or incurred prior to the time the termination is effective, which Obligations shall remain guaranteed pursuant to the terms of this Guaranty.    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b/>
          <w:sz w:val="22"/>
          <w:u w:val="double"/>
        </w:rPr>
      </w:pPr>
      <w:r>
        <w:rPr>
          <w:rFonts w:ascii="Times New Roman" w:hAnsi="Times New Roman"/>
          <w:b/>
          <w:sz w:val="22"/>
          <w:u w:val="double"/>
        </w:rPr>
      </w:r>
    </w:p>
    <w:tbl>
      <w:tblPr>
        <w:tblW w:w="8658" w:type="dxa"/>
        <w:jc w:val="start"/>
        <w:tblInd w:w="0" w:type="dxa"/>
        <w:tblLayout w:type="fixed"/>
        <w:tblCellMar>
          <w:top w:w="0" w:type="dxa"/>
          <w:start w:w="108" w:type="dxa"/>
          <w:bottom w:w="0" w:type="dxa"/>
          <w:end w:w="108" w:type="dxa"/>
        </w:tblCellMar>
      </w:tblPr>
      <w:tblGrid>
        <w:gridCol w:w="1638"/>
        <w:gridCol w:w="2699"/>
        <w:gridCol w:w="1441"/>
        <w:gridCol w:w="2879"/>
      </w:tblGrid>
      <w:tr>
        <w:trPr>
          <w:cantSplit w:val="true"/>
        </w:trPr>
        <w:tc>
          <w:tcPr>
            <w:tcW w:w="1638" w:type="dxa"/>
            <w:tcBorders/>
          </w:tcPr>
          <w:p>
            <w:pPr>
              <w:pStyle w:val="Normal"/>
              <w:keepNext w:val="true"/>
              <w:tabs>
                <w:tab w:val="clear" w:pos="720"/>
              </w:tabs>
              <w:bidi w:val="0"/>
              <w:spacing w:lineRule="atLeast" w:line="240"/>
              <w:jc w:val="start"/>
              <w:rPr/>
            </w:pPr>
            <w:r>
              <w:rPr>
                <w:rFonts w:ascii="Times New Roman" w:hAnsi="Times New Roman"/>
                <w:b/>
                <w:sz w:val="22"/>
                <w:u w:val="double"/>
              </w:rPr>
              <w:t>To Counterparty:</w:t>
            </w:r>
          </w:p>
        </w:tc>
        <w:tc>
          <w:tcPr>
            <w:tcW w:w="2699" w:type="dxa"/>
            <w:tcBorders/>
          </w:tcPr>
          <w:p>
            <w:pPr>
              <w:pStyle w:val="Normal"/>
              <w:keepNext w:val="true"/>
              <w:tabs>
                <w:tab w:val="clear" w:pos="720"/>
                <w:tab w:val="left" w:pos="3132" w:leader="none"/>
              </w:tabs>
              <w:bidi w:val="0"/>
              <w:spacing w:lineRule="atLeast" w:line="240"/>
              <w:jc w:val="start"/>
              <w:rPr>
                <w:rFonts w:ascii="Times New Roman" w:hAnsi="Times New Roman"/>
                <w:b/>
                <w:sz w:val="22"/>
                <w:u w:val="double"/>
              </w:rPr>
            </w:pPr>
            <w:r>
              <w:rPr>
                <w:rFonts w:ascii="Times New Roman" w:hAnsi="Times New Roman"/>
                <w:b/>
                <w:sz w:val="22"/>
                <w:u w:val="double"/>
              </w:rPr>
              <w:t xml:space="preserve">Allegheny Energy Supply </w:t>
            </w:r>
          </w:p>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Company, LLC</w:t>
            </w:r>
          </w:p>
        </w:tc>
        <w:tc>
          <w:tcPr>
            <w:tcW w:w="1441" w:type="dxa"/>
            <w:tcBorders/>
          </w:tcPr>
          <w:p>
            <w:pPr>
              <w:pStyle w:val="Normal"/>
              <w:keepNext w:val="true"/>
              <w:tabs>
                <w:tab w:val="clear" w:pos="720"/>
              </w:tabs>
              <w:bidi w:val="0"/>
              <w:spacing w:lineRule="atLeast" w:line="240"/>
              <w:jc w:val="start"/>
              <w:rPr/>
            </w:pPr>
            <w:r>
              <w:rPr>
                <w:rFonts w:ascii="Times New Roman" w:hAnsi="Times New Roman"/>
                <w:b/>
                <w:sz w:val="22"/>
                <w:u w:val="double"/>
              </w:rPr>
              <w:t>To Guarantor:</w:t>
            </w:r>
          </w:p>
        </w:tc>
        <w:tc>
          <w:tcPr>
            <w:tcW w:w="2879"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t>Enron Corp.</w:t>
            </w:r>
          </w:p>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t>1400 Smith Street</w:t>
            </w:r>
          </w:p>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t>Houston, Texas 77002</w:t>
            </w:r>
          </w:p>
          <w:p>
            <w:pPr>
              <w:pStyle w:val="BodyText"/>
              <w:keepNext w:val="true"/>
              <w:tabs>
                <w:tab w:val="clear" w:pos="720"/>
                <w:tab w:val="right" w:pos="2988" w:leader="none"/>
              </w:tabs>
              <w:bidi w:val="0"/>
              <w:spacing w:lineRule="atLeast" w:line="240"/>
              <w:jc w:val="start"/>
              <w:rPr>
                <w:rFonts w:ascii="Times New Roman" w:hAnsi="Times New Roman"/>
                <w:b/>
                <w:u w:val="double"/>
              </w:rPr>
            </w:pPr>
            <w:r>
              <w:rPr>
                <w:rFonts w:ascii="Times New Roman" w:hAnsi="Times New Roman"/>
                <w:b/>
                <w:u w:val="double"/>
              </w:rPr>
              <w:t>Attn.:    Vice President, Finance and Treasurer</w:t>
            </w:r>
          </w:p>
          <w:p>
            <w:pPr>
              <w:pStyle w:val="Normal"/>
              <w:keepNext w:val="true"/>
              <w:tabs>
                <w:tab w:val="clear" w:pos="720"/>
                <w:tab w:val="right" w:pos="2988" w:leader="none"/>
              </w:tabs>
              <w:bidi w:val="0"/>
              <w:spacing w:lineRule="atLeast" w:line="240"/>
              <w:jc w:val="start"/>
              <w:rPr/>
            </w:pPr>
            <w:r>
              <w:rPr>
                <w:rFonts w:ascii="Times New Roman" w:hAnsi="Times New Roman"/>
                <w:b/>
                <w:sz w:val="22"/>
                <w:u w:val="double"/>
              </w:rPr>
              <w:t>Fax No.:    (713) 646-3422</w:t>
            </w:r>
          </w:p>
        </w:tc>
      </w:tr>
      <w:tr>
        <w:trPr>
          <w:cantSplit w:val="true"/>
        </w:trPr>
        <w:tc>
          <w:tcPr>
            <w:tcW w:w="163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69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Roseytown Road</w:t>
            </w:r>
          </w:p>
        </w:tc>
        <w:tc>
          <w:tcPr>
            <w:tcW w:w="1441"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79"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r>
        <w:trPr>
          <w:cantSplit w:val="true"/>
        </w:trPr>
        <w:tc>
          <w:tcPr>
            <w:tcW w:w="163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699" w:type="dxa"/>
            <w:tcBorders/>
          </w:tcPr>
          <w:p>
            <w:pPr>
              <w:pStyle w:val="Normal"/>
              <w:keepNext w:val="true"/>
              <w:tabs>
                <w:tab w:val="clear" w:pos="720"/>
                <w:tab w:val="left" w:pos="3132" w:leader="none"/>
              </w:tabs>
              <w:bidi w:val="0"/>
              <w:spacing w:lineRule="atLeast" w:line="240"/>
              <w:jc w:val="start"/>
              <w:rPr>
                <w:rFonts w:ascii="Times New Roman" w:hAnsi="Times New Roman"/>
                <w:b/>
                <w:sz w:val="22"/>
                <w:u w:val="double"/>
              </w:rPr>
            </w:pPr>
            <w:r>
              <w:rPr>
                <w:rFonts w:ascii="Times New Roman" w:hAnsi="Times New Roman"/>
                <w:b/>
                <w:sz w:val="22"/>
                <w:u w:val="double"/>
              </w:rPr>
              <w:t>RR12, Box 1000</w:t>
            </w:r>
          </w:p>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Greensburg, PA 15601</w:t>
            </w:r>
          </w:p>
        </w:tc>
        <w:tc>
          <w:tcPr>
            <w:tcW w:w="1441"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79"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r>
        <w:trPr>
          <w:cantSplit w:val="true"/>
        </w:trPr>
        <w:tc>
          <w:tcPr>
            <w:tcW w:w="163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69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Attn.: Treasury Department</w:t>
            </w:r>
          </w:p>
        </w:tc>
        <w:tc>
          <w:tcPr>
            <w:tcW w:w="1441"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79"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r>
        <w:trPr>
          <w:cantSplit w:val="true"/>
        </w:trPr>
        <w:tc>
          <w:tcPr>
            <w:tcW w:w="1638"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69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double"/>
              </w:rPr>
              <w:t>Fax No.:    724-853-3784</w:t>
            </w:r>
          </w:p>
        </w:tc>
        <w:tc>
          <w:tcPr>
            <w:tcW w:w="1441" w:type="dxa"/>
            <w:tcBorders/>
          </w:tcPr>
          <w:p>
            <w:pPr>
              <w:pStyle w:val="Normal"/>
              <w:keepNext w:val="true"/>
              <w:tabs>
                <w:tab w:val="clear" w:pos="720"/>
              </w:tabs>
              <w:bidi w:val="0"/>
              <w:spacing w:lineRule="atLeast" w:line="240"/>
              <w:jc w:val="start"/>
              <w:rPr>
                <w:rFonts w:ascii="Times New Roman" w:hAnsi="Times New Roman"/>
                <w:b/>
                <w:sz w:val="22"/>
                <w:u w:val="double"/>
              </w:rPr>
            </w:pPr>
            <w:r>
              <w:rPr>
                <w:rFonts w:ascii="Times New Roman" w:hAnsi="Times New Roman"/>
                <w:b/>
                <w:sz w:val="22"/>
                <w:u w:val="double"/>
              </w:rPr>
            </w:r>
          </w:p>
        </w:tc>
        <w:tc>
          <w:tcPr>
            <w:tcW w:w="2879"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double"/>
              </w:rPr>
            </w:pPr>
            <w:r>
              <w:rPr>
                <w:rFonts w:ascii="Times New Roman" w:hAnsi="Times New Roman"/>
                <w:b/>
                <w:sz w:val="22"/>
                <w:u w:val="double"/>
              </w:rPr>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jc w:val="both"/>
        <w:rPr>
          <w:rFonts w:ascii="Times New Roman" w:hAnsi="Times New Roman"/>
          <w:b/>
          <w:sz w:val="22"/>
          <w:u w:val="double"/>
        </w:rPr>
      </w:pPr>
      <w:r>
        <w:rPr>
          <w:rFonts w:ascii="Times New Roman" w:hAnsi="Times New Roman"/>
          <w:b/>
          <w:sz w:val="22"/>
          <w:u w:val="double"/>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t>8.    MISCELLANEOUS.    This Guaranty shall in all respects be governed by, and construed in accordance with, the law of the State of New York, and with respect to principles of conflicts of law, in accordance with Section 5-1401 of the New York General Obligations Law. 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BodyTextIndent"/>
        <w:bidi w:val="0"/>
        <w:spacing w:lineRule="atLeast" w:line="240"/>
        <w:rPr>
          <w:rFonts w:ascii="Times New Roman" w:hAnsi="Times New Roman"/>
          <w:b/>
          <w:u w:val="double"/>
        </w:rPr>
      </w:pPr>
      <w:r>
        <w:rPr>
          <w:rFonts w:ascii="Times New Roman" w:hAnsi="Times New Roman"/>
          <w:b/>
          <w:u w:val="double"/>
        </w:rPr>
        <w:t>IN WITNESS WHEREOF, the Guarantor has executed this Guaranty on March 19, 2001, but it is effective as of the Effective Date.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t>ENRON CORP.</w:t>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hanging="0" w:start="5040"/>
        <w:jc w:val="both"/>
        <w:rPr>
          <w:rFonts w:ascii="Times New Roman" w:hAnsi="Times New Roman"/>
          <w:sz w:val="22"/>
        </w:rPr>
      </w:pPr>
      <w:r>
        <w:rPr>
          <w:rFonts w:ascii="Times New Roman" w:hAnsi="Times New Roman"/>
          <w:b/>
          <w:sz w:val="22"/>
          <w:u w:val="double"/>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mc:AlternateContent>
          <mc:Choice Requires="wps">
            <w:drawing>
              <wp:anchor behindDoc="0" distT="0" distB="0" distL="0" distR="0" simplePos="0" locked="0" layoutInCell="0" allowOverlap="1" relativeHeight="3">
                <wp:simplePos x="0" y="0"/>
                <wp:positionH relativeFrom="column">
                  <wp:posOffset>-1280160</wp:posOffset>
                </wp:positionH>
                <wp:positionV relativeFrom="paragraph">
                  <wp:posOffset>-301625</wp:posOffset>
                </wp:positionV>
                <wp:extent cx="0" cy="91440"/>
                <wp:effectExtent l="635" t="635" r="635" b="635"/>
                <wp:wrapSquare wrapText="bothSides"/>
                <wp:docPr id="5" name="Shape2"/>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2" stroked="t" o:allowincell="f" style="position:absolute">
                <v:stroke color="white" joinstyle="round" endcap="flat"/>
                <v:fill o:detectmouseclick="t" on="false"/>
                <w10:wrap type="square"/>
              </v:line>
            </w:pict>
          </mc:Fallback>
        </mc:AlternateContent>
      </w:r>
    </w:p>
    <w:p>
      <w:pPr>
        <w:pStyle w:val="Normal"/>
        <w:bidi w:val="0"/>
        <w:jc w:val="start"/>
        <w:rPr>
          <w:rFonts w:ascii="Times New Roman" w:hAnsi="Times New Roman"/>
        </w:rPr>
      </w:pPr>
      <w:r>
        <w:rPr>
          <w:rFonts w:ascii="Times New Roman" w:hAnsi="Times New Roman"/>
        </w:rPr>
      </w:r>
    </w:p>
    <w:p>
      <w:pPr>
        <w:sectPr>
          <w:headerReference w:type="even" r:id="rId7"/>
          <w:headerReference w:type="default" r:id="rId8"/>
          <w:headerReference w:type="first" r:id="rId9"/>
          <w:footerReference w:type="default" r:id="rId10"/>
          <w:footerReference w:type="first" r:id="rId11"/>
          <w:type w:val="nextPage"/>
          <w:pgSz w:w="12240" w:h="15840"/>
          <w:pgMar w:left="2160" w:right="1440" w:gutter="0" w:header="720" w:top="1915" w:footer="720" w:bottom="965"/>
          <w:pgNumType w:start="1" w:fmt="decimal"/>
          <w:formProt w:val="false"/>
          <w:titlePg/>
          <w:textDirection w:val="lrTb"/>
          <w:docGrid w:type="default" w:linePitch="100" w:charSpace="0"/>
        </w:sectPr>
        <w:pStyle w:val="Normal"/>
        <w:bidi w:val="0"/>
        <w:spacing w:before="0" w:after="0"/>
        <w:jc w:val="start"/>
        <w:rPr>
          <w:rFonts w:ascii="Times New Roman" w:hAnsi="Times New Roman"/>
        </w:rPr>
      </w:pPr>
      <w:r>
        <w:rPr>
          <w:rFonts w:ascii="Times New Roman" w:hAnsi="Times New Roman"/>
        </w:rPr>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“Fallback Reference Dealers”; </w:t>
      </w:r>
      <w:r>
        <w:rPr>
          <w:rFonts w:ascii="Times New Roman" w:hAnsi="Times New Roman"/>
          <w:sz w:val="22"/>
          <w:u w:val="single"/>
        </w:rPr>
        <w:t>provided however</w:t>
      </w:r>
      <w:r>
        <w:rPr>
          <w:rFonts w:ascii="Times New Roman" w:hAnsi="Times New Roman"/>
          <w:sz w:val="22"/>
        </w:rPr>
        <w:t xml:space="preserve">, notwithstanding any reference to the number of Specified Prices in the definition of “Commodity Reference Dealers” set forth    in Section 7.1(d)(i) of the Commodity Definitions, Party B shall obtain in good faith quotations from two (2) leading </w:t>
      </w:r>
      <w:r>
        <w:rPr>
          <w:rFonts w:ascii="Times New Roman" w:hAnsi="Times New Roman"/>
          <w:b/>
          <w:sz w:val="22"/>
          <w:u w:val="double"/>
        </w:rPr>
        <w:t>independent</w:t>
      </w:r>
      <w:r>
        <w:rPr>
          <w:rFonts w:ascii="Times New Roman" w:hAnsi="Times New Roman"/>
          <w:sz w:val="22"/>
        </w:rPr>
        <w:t xml:space="preserve">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w:t>
      </w:r>
      <w:r>
        <w:rPr>
          <w:rFonts w:ascii="Times New Roman" w:hAnsi="Times New Roman"/>
          <w:b/>
          <w:sz w:val="22"/>
          <w:u w:val="double"/>
        </w:rPr>
        <w:t>; provided, however, that Party A may dispute any such valuations or calculations</w:t>
      </w:r>
      <w:r>
        <w:rPr>
          <w:rFonts w:ascii="Times New Roman" w:hAnsi="Times New Roman"/>
          <w:sz w:val="22"/>
        </w:rPr>
        <w:t>.</w:t>
      </w:r>
    </w:p>
    <w:p>
      <w:pPr>
        <w:pStyle w:val="Header"/>
        <w:bidi w:val="0"/>
        <w:jc w:val="both"/>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-HEADER 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-HEADER 2-</w:t>
      </w:r>
    </w:p>
    <w:p>
      <w:pPr>
        <w:pStyle w:val="Normal"/>
        <w:bidi w:val="0"/>
        <w:jc w:val="start"/>
        <w:rPr>
          <w:rFonts w:ascii="Times New Roman" w:hAnsi="Times New Roman"/>
          <w:b/>
          <w:u w:val="double"/>
        </w:rPr>
      </w:pPr>
      <w:r>
        <w:rPr>
          <w:rFonts w:ascii="Times New Roman" w:hAnsi="Times New Roman"/>
          <w:b/>
          <w:u w:val="double"/>
        </w:rPr>
        <w:t>Exhibit B</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-HEADER 3-</w:t>
      </w:r>
    </w:p>
    <w:p>
      <w:pPr>
        <w:pStyle w:val="Normal"/>
        <w:bidi w:val="0"/>
        <w:jc w:val="start"/>
        <w:rPr>
          <w:rFonts w:ascii="Times New Roman" w:hAnsi="Times New Roman"/>
          <w:b/>
          <w:u w:val="double"/>
        </w:rPr>
      </w:pPr>
      <w:r>
        <w:rPr>
          <w:rFonts w:ascii="Times New Roman" w:hAnsi="Times New Roman"/>
          <w:b/>
          <w:u w:val="double"/>
        </w:rPr>
        <w:t>Header Discontinued</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-HEADER 4-</w:t>
      </w:r>
    </w:p>
    <w:p>
      <w:pPr>
        <w:pStyle w:val="Normal"/>
        <w:bidi w:val="0"/>
        <w:jc w:val="start"/>
        <w:rPr>
          <w:rFonts w:ascii="Times New Roman" w:hAnsi="Times New Roman"/>
        </w:rPr>
      </w:pPr>
      <w:r>
        <w:rPr>
          <w:rFonts w:ascii="Times New Roman" w:hAnsi="Times New Roman"/>
          <w:b/>
          <w:u w:val="double"/>
        </w:rPr>
        <w:t>Exhibit C</w:t>
      </w:r>
      <w:r>
        <w:rPr>
          <w:rFonts w:ascii="Times New Roman" w:hAnsi="Times New Roman"/>
        </w:rPr>
        <w:t xml:space="preserve"> </w:t>
      </w:r>
      <w:r>
        <w:rPr>
          <w:rFonts w:ascii="Times New Roman" w:hAnsi="Times New Roman"/>
          <w:strike/>
        </w:rPr>
        <w:t>S&amp;C Draft of March 15, 2001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FOOTERS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1-</w:t>
      </w:r>
    </w:p>
    <w:p>
      <w:pPr>
        <w:pStyle w:val="Normal"/>
        <w:bidi w:val="0"/>
        <w:jc w:val="start"/>
        <w:rPr>
          <w:rFonts w:ascii="Times New Roman" w:hAnsi="Times New Roman"/>
        </w:rPr>
      </w:pPr>
      <w:r>
        <w:rPr>
          <w:rFonts w:ascii="Times New Roman" w:hAnsi="Times New Roman"/>
        </w:rPr>
        <w:t>1</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2-</w:t>
      </w:r>
    </w:p>
    <w:p>
      <w:pPr>
        <w:pStyle w:val="Normal"/>
        <w:bidi w:val="0"/>
        <w:jc w:val="start"/>
        <w:rPr>
          <w:rFonts w:ascii="Times New Roman" w:hAnsi="Times New Roman"/>
          <w:strike/>
        </w:rPr>
      </w:pPr>
      <w:r>
        <w:rPr>
          <w:rFonts w:ascii="Times New Roman" w:hAnsi="Times New Roman"/>
          <w:b/>
          <w:u w:val="double"/>
        </w:rPr>
        <w:t>-4-</w:t>
      </w:r>
    </w:p>
    <w:p>
      <w:pPr>
        <w:pStyle w:val="Normal"/>
        <w:bidi w:val="0"/>
        <w:jc w:val="start"/>
        <w:rPr>
          <w:rFonts w:ascii="Times New Roman" w:hAnsi="Times New Roman"/>
          <w:strike/>
        </w:rPr>
      </w:pPr>
      <w:r>
        <w:rPr>
          <w:rFonts w:ascii="Times New Roman" w:hAnsi="Times New Roman"/>
          <w:strike/>
        </w:rPr>
        <w:t>-FOOTER 3-</w:t>
      </w:r>
    </w:p>
    <w:p>
      <w:pPr>
        <w:pStyle w:val="Normal"/>
        <w:bidi w:val="0"/>
        <w:jc w:val="start"/>
        <w:rPr>
          <w:rFonts w:ascii="Times New Roman" w:hAnsi="Times New Roman"/>
        </w:rPr>
      </w:pPr>
      <w:r>
        <w:rPr>
          <w:rFonts w:ascii="Times New Roman" w:hAnsi="Times New Roman"/>
          <w:strike/>
        </w:rPr>
        <w:t>7</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NY12533: </w:t>
      </w:r>
      <w:r>
        <w:rPr>
          <w:rFonts w:ascii="Times New Roman" w:hAnsi="Times New Roman"/>
          <w:strike/>
        </w:rPr>
        <w:t>133258.3</w:t>
      </w:r>
      <w:r>
        <w:rPr>
          <w:rFonts w:ascii="Times New Roman" w:hAnsi="Times New Roman"/>
        </w:rPr>
        <w:t xml:space="preserve"> </w:t>
      </w:r>
      <w:r>
        <w:rPr>
          <w:rFonts w:ascii="Times New Roman" w:hAnsi="Times New Roman"/>
          <w:b/>
          <w:u w:val="double"/>
        </w:rPr>
        <w:t>133258.4</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4</w:t>
      </w:r>
      <w:r>
        <w:rPr>
          <w:rFonts w:ascii="Times New Roman" w:hAnsi="Times New Roman"/>
        </w:rPr>
        <w:t xml:space="preserve"> </w:t>
      </w:r>
      <w:r>
        <w:rPr>
          <w:rFonts w:ascii="Times New Roman" w:hAnsi="Times New Roman"/>
          <w:b/>
          <w:u w:val="double"/>
        </w:rPr>
        <w:t>3</w:t>
      </w:r>
      <w:r>
        <w:rPr>
          <w:rFonts w:ascii="Times New Roman" w:hAnsi="Times New Roman"/>
        </w:rPr>
        <w:t>-</w:t>
      </w:r>
    </w:p>
    <w:p>
      <w:pPr>
        <w:pStyle w:val="Normal"/>
        <w:bidi w:val="0"/>
        <w:jc w:val="start"/>
        <w:rPr>
          <w:rFonts w:ascii="Times New Roman" w:hAnsi="Times New Roman"/>
        </w:rPr>
      </w:pPr>
      <w:r>
        <w:rPr>
          <w:rFonts w:ascii="Times New Roman" w:hAnsi="Times New Roman"/>
          <w:strike/>
        </w:rPr>
        <w:t>E</w:t>
      </w:r>
      <w:r>
        <w:rPr>
          <w:rFonts w:ascii="Times New Roman" w:hAnsi="Times New Roman"/>
        </w:rPr>
        <w:t xml:space="preserve"> </w:t>
      </w:r>
      <w:r>
        <w:rPr>
          <w:rFonts w:ascii="Times New Roman" w:hAnsi="Times New Roman"/>
          <w:b/>
          <w:u w:val="double"/>
        </w:rPr>
        <w:t>P</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This redlined draft, generated by CompareRite (TM) - The Instant Redliner, shows the differences between - </w:t>
      </w:r>
    </w:p>
    <w:p>
      <w:pPr>
        <w:pStyle w:val="Normal"/>
        <w:bidi w:val="0"/>
        <w:jc w:val="start"/>
        <w:rPr>
          <w:rFonts w:ascii="Times New Roman" w:hAnsi="Times New Roman"/>
        </w:rPr>
      </w:pPr>
      <w:r>
        <w:rPr>
          <w:rFonts w:ascii="Times New Roman" w:hAnsi="Times New Roman"/>
        </w:rPr>
        <w:t>original document      : G:\DOCS\NY12533\TEIGLAND\2%TM03!.DOC</w:t>
      </w:r>
    </w:p>
    <w:p>
      <w:pPr>
        <w:pStyle w:val="Normal"/>
        <w:bidi w:val="0"/>
        <w:jc w:val="start"/>
        <w:rPr>
          <w:rFonts w:ascii="Times New Roman" w:hAnsi="Times New Roman"/>
        </w:rPr>
      </w:pPr>
      <w:r>
        <w:rPr>
          <w:rFonts w:ascii="Times New Roman" w:hAnsi="Times New Roman"/>
        </w:rPr>
        <w:t>and revised document: G:\DOCS\NY12533\TEIGLAND\2%TM04!.DOC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CompareRite found      17 change(s) in the text</w:t>
      </w:r>
    </w:p>
    <w:p>
      <w:pPr>
        <w:pStyle w:val="Normal"/>
        <w:bidi w:val="0"/>
        <w:jc w:val="start"/>
        <w:rPr>
          <w:rFonts w:ascii="Times New Roman" w:hAnsi="Times New Roman"/>
        </w:rPr>
      </w:pPr>
      <w:r>
        <w:rPr>
          <w:rFonts w:ascii="Times New Roman" w:hAnsi="Times New Roman"/>
        </w:rPr>
        <w:t>CompareRite found        4 change(s) in the notes</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Deletions appear as Overstrike text </w:t>
      </w:r>
    </w:p>
    <w:p>
      <w:pPr>
        <w:pStyle w:val="Normal"/>
        <w:bidi w:val="0"/>
        <w:jc w:val="start"/>
        <w:rPr>
          <w:rFonts w:ascii="Times New Roman" w:hAnsi="Times New Roman"/>
        </w:rPr>
      </w:pPr>
      <w:r>
        <w:rPr>
          <w:rFonts w:ascii="Times New Roman" w:hAnsi="Times New Roman"/>
        </w:rPr>
        <w:t xml:space="preserve">Additions appear as Bold+Dbl Underline text </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2160" w:right="1440" w:gutter="0" w:header="720" w:top="1915" w:footer="720" w:bottom="965"/>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274955" cy="172720"/>
              <wp:effectExtent l="0" t="0" r="0" b="0"/>
              <wp:wrapTopAndBottom/>
              <wp:docPr id="3" name="Frame2"/>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274955" cy="172720"/>
              <wp:effectExtent l="0" t="0" r="0" b="0"/>
              <wp:wrapTopAndBottom/>
              <wp:docPr id="6" name="Frame4"/>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rFonts w:ascii="Times New Roman" w:hAnsi="Times New Roman"/>
        <w:sz w:val="2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74955" cy="172720"/>
              <wp:effectExtent l="0" t="0" r="0" b="0"/>
              <wp:wrapTopAndBottom/>
              <wp:docPr id="7" name="Frame5"/>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xbxContent>
              </v:textbox>
              <w10:wrap type="topAndBottom"/>
            </v:rect>
          </w:pict>
        </mc:Fallback>
      </mc:AlternateContent>
    </w:r>
  </w:p>
  <w:p>
    <w:pPr>
      <w:pStyle w:val="Footer"/>
      <w:bidi w:val="0"/>
      <w:jc w:val="start"/>
      <w:rPr>
        <w:rFonts w:ascii="Times New Roman" w:hAnsi="Times New Roman"/>
        <w:sz w:val="20"/>
      </w:rPr>
    </w:pPr>
    <w:r>
      <w:rPr>
        <w:rFonts w:ascii="Times New Roman" w:hAnsi="Times New Roman"/>
        <w:sz w:val="20"/>
      </w:rPr>
      <w:t>NY12533:133258.4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u w:val="single"/>
      </w:rPr>
    </w:pPr>
    <w:r>
      <w:rPr>
        <w:rFonts w:ascii="Times New Roman" w:hAnsi="Times New Roman"/>
        <w:u w:val="single"/>
      </w:rPr>
      <w:t>Exhibit B</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u w:val="single"/>
      </w:rPr>
    </w:pPr>
    <w:r>
      <w:rPr>
        <w:rFonts w:ascii="Times New Roman" w:hAnsi="Times New Roman"/>
        <w:u w:val="single"/>
      </w:rPr>
      <w:t>Exhibit 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New" w:hAnsi="Courier New" w:eastAsia="Arial" w:cs="Courier New"/>
      <w:color w:val="auto"/>
      <w:kern w:val="2"/>
      <w:sz w:val="24"/>
      <w:szCs w:val="24"/>
      <w:lang w:val="en-CA" w:eastAsia="zh-CN" w:bidi="hi-IN"/>
    </w:rPr>
  </w:style>
  <w:style w:type="paragraph" w:styleId="Heading1">
    <w:name w:val="heading 1"/>
    <w:basedOn w:val="Normal"/>
    <w:next w:val="Normal"/>
    <w:qFormat/>
    <w:pPr>
      <w:keepNext w:val="true"/>
      <w:spacing w:before="240" w:after="60"/>
    </w:pPr>
    <w:rPr>
      <w:rFonts w:ascii="Courier" w:hAnsi="Courier"/>
      <w:b/>
      <w:kern w:val="2"/>
      <w:sz w:val="28"/>
    </w:rPr>
  </w:style>
  <w:style w:type="paragraph" w:styleId="Heading2">
    <w:name w:val="heading 2"/>
    <w:basedOn w:val="Normal"/>
    <w:next w:val="Normal"/>
    <w:qFormat/>
    <w:pPr>
      <w:keepNext w:val="true"/>
      <w:spacing w:before="240" w:after="60"/>
    </w:pPr>
    <w:rPr>
      <w:rFonts w:ascii="Courier New" w:hAnsi="Courier New"/>
      <w:b/>
      <w:i/>
    </w:rPr>
  </w:style>
  <w:style w:type="paragraph" w:styleId="Heading3">
    <w:name w:val="heading 3"/>
    <w:basedOn w:val="Normal"/>
    <w:next w:val="Normal"/>
    <w:qFormat/>
    <w:pPr>
      <w:keepNext w:val="true"/>
      <w:spacing w:before="240" w:after="60"/>
    </w:pPr>
    <w:rPr>
      <w:rFonts w:ascii="Courier New" w:hAnsi="Courier New"/>
      <w:b/>
    </w:rPr>
  </w:style>
  <w:style w:type="paragraph" w:styleId="Heading4">
    <w:name w:val="heading 4"/>
    <w:basedOn w:val="Normal"/>
    <w:next w:val="Normal"/>
    <w:qFormat/>
    <w:pPr>
      <w:keepNext w:val="true"/>
      <w:spacing w:before="240" w:after="60"/>
    </w:pPr>
    <w:rPr>
      <w:rFonts w:ascii="Courier New" w:hAnsi="Courier New"/>
      <w:u w:val="single"/>
    </w:rPr>
  </w:style>
  <w:style w:type="paragraph" w:styleId="Heading5">
    <w:name w:val="heading 5"/>
    <w:basedOn w:val="Normal"/>
    <w:next w:val="Normal"/>
    <w:qFormat/>
    <w:pPr>
      <w:spacing w:before="240" w:after="60"/>
    </w:pPr>
    <w:rPr>
      <w:rFonts w:ascii="Courier New" w:hAnsi="Courier New"/>
      <w:sz w:val="22"/>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pPr>
    <w:rPr>
      <w:smallCaps/>
      <w:sz w:val="20"/>
    </w:rPr>
  </w:style>
  <w:style w:type="paragraph" w:styleId="TOC3">
    <w:name w:val="toc 3"/>
    <w:basedOn w:val="Normal"/>
    <w:next w:val="Normal"/>
    <w:pPr>
      <w:ind w:hanging="0" w:start="480"/>
    </w:pPr>
    <w:rPr>
      <w:i/>
      <w:sz w:val="20"/>
    </w:rPr>
  </w:style>
  <w:style w:type="paragraph" w:styleId="TOC4">
    <w:name w:val="toc 4"/>
    <w:basedOn w:val="Normal"/>
    <w:next w:val="Normal"/>
    <w:pPr>
      <w:ind w:hanging="0" w:start="720"/>
    </w:pPr>
    <w:rPr>
      <w:sz w:val="18"/>
    </w:rPr>
  </w:style>
  <w:style w:type="paragraph" w:styleId="TOC5">
    <w:name w:val="toc 5"/>
    <w:basedOn w:val="Normal"/>
    <w:next w:val="Normal"/>
    <w:pPr>
      <w:ind w:hanging="0" w:start="960"/>
    </w:pPr>
    <w:rPr>
      <w:sz w:val="18"/>
    </w:rPr>
  </w:style>
  <w:style w:type="paragraph" w:styleId="TOC6">
    <w:name w:val="toc 6"/>
    <w:basedOn w:val="Normal"/>
    <w:next w:val="Normal"/>
    <w:pPr>
      <w:ind w:hanging="0" w:start="1200"/>
    </w:pPr>
    <w:rPr>
      <w:sz w:val="18"/>
    </w:rPr>
  </w:style>
  <w:style w:type="paragraph" w:styleId="TOC7">
    <w:name w:val="toc 7"/>
    <w:basedOn w:val="Normal"/>
    <w:next w:val="Normal"/>
    <w:pPr>
      <w:ind w:hanging="0" w:start="1440"/>
    </w:pPr>
    <w:rPr>
      <w:sz w:val="18"/>
    </w:rPr>
  </w:style>
  <w:style w:type="paragraph" w:styleId="TOC8">
    <w:name w:val="toc 8"/>
    <w:basedOn w:val="Normal"/>
    <w:next w:val="Normal"/>
    <w:pPr>
      <w:ind w:hanging="0" w:start="1680"/>
    </w:pPr>
    <w:rPr>
      <w:sz w:val="18"/>
    </w:rPr>
  </w:style>
  <w:style w:type="paragraph" w:styleId="TOC9">
    <w:name w:val="toc 9"/>
    <w:basedOn w:val="Normal"/>
    <w:next w:val="Normal"/>
    <w:pPr>
      <w:ind w:hanging="0" w:start="1920"/>
    </w:pPr>
    <w:rPr>
      <w:sz w:val="18"/>
    </w:rPr>
  </w:style>
  <w:style w:type="paragraph" w:styleId="FootnoteText">
    <w:name w:val="footnote text"/>
    <w:basedOn w:val="Normal"/>
    <w:pPr>
      <w:spacing w:before="240" w:after="0"/>
    </w:pPr>
    <w:rPr>
      <w:rFonts w:ascii="Courier New" w:hAnsi="Courier New"/>
    </w:rPr>
  </w:style>
  <w:style w:type="paragraph" w:styleId="BodyText5LAs5">
    <w:name w:val="!Body Text .5(LA),s5"/>
    <w:basedOn w:val="Normal"/>
    <w:qFormat/>
    <w:pPr>
      <w:spacing w:before="0" w:after="240"/>
      <w:ind w:firstLine="720"/>
    </w:pPr>
    <w:rPr/>
  </w:style>
  <w:style w:type="paragraph" w:styleId="Titlet">
    <w:name w:val="!Title,t"/>
    <w:basedOn w:val="Normal"/>
    <w:qFormat/>
    <w:pPr>
      <w:keepNext w:val="true"/>
      <w:keepLines/>
      <w:spacing w:before="120" w:after="240"/>
      <w:jc w:val="center"/>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rFonts w:ascii="Courier New" w:hAnsi="Courier New"/>
    </w:rPr>
  </w:style>
  <w:style w:type="paragraph" w:styleId="Footer">
    <w:name w:val="footer"/>
    <w:basedOn w:val="Normal"/>
    <w:pPr>
      <w:tabs>
        <w:tab w:val="clear" w:pos="720"/>
        <w:tab w:val="center" w:pos="4320" w:leader="none"/>
        <w:tab w:val="right" w:pos="8640" w:leader="none"/>
      </w:tabs>
    </w:pPr>
    <w:rPr>
      <w:rFonts w:ascii="Courier New" w:hAnsi="Courier New"/>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BodyTextIndent2">
    <w:name w:val="Body Text Indent 2"/>
    <w:basedOn w:val="Normal"/>
    <w:qFormat/>
    <w:pPr>
      <w:widowControl w:val="false"/>
      <w:tabs>
        <w:tab w:val="clear" w:pos="720"/>
        <w:tab w:val="left" w:pos="1350" w:leader="none"/>
      </w:tabs>
      <w:ind w:firstLine="720"/>
      <w:jc w:val="both"/>
    </w:pPr>
    <w:rPr>
      <w:rFonts w:ascii="Tms Rmn" w:hAnsi="Tms Rmn"/>
      <w:sz w:val="22"/>
    </w:rPr>
  </w:style>
  <w:style w:type="paragraph" w:styleId="BlockText">
    <w:name w:val="Block Text"/>
    <w:basedOn w:val="Normal"/>
    <w:qFormat/>
    <w:pPr>
      <w:ind w:firstLine="720" w:start="720" w:end="720"/>
      <w:jc w:val="both"/>
    </w:pPr>
    <w:rPr>
      <w:sz w:val="22"/>
    </w:rPr>
  </w:style>
  <w:style w:type="paragraph" w:styleId="BodyTextIndent3">
    <w:name w:val="Body Text Indent 3"/>
    <w:basedOn w:val="Normal"/>
    <w:qFormat/>
    <w:pPr>
      <w:widowControl w:val="false"/>
      <w:spacing w:lineRule="exact" w:line="240"/>
      <w:ind w:firstLine="720" w:start="720"/>
      <w:jc w:val="both"/>
    </w:pPr>
    <w:rPr>
      <w:sz w:val="22"/>
    </w:rPr>
  </w:style>
  <w:style w:type="paragraph" w:styleId="Title">
    <w:name w:val="Title"/>
    <w:basedOn w:val="Normal"/>
    <w:qFormat/>
    <w:pPr>
      <w:ind w:end="180"/>
      <w:jc w:val="center"/>
    </w:pPr>
    <w:rPr>
      <w:rFonts w:ascii="Courier New" w:hAnsi="Courier New"/>
      <w:b/>
      <w:sz w:val="22"/>
      <w:u w:val="single"/>
    </w:rPr>
  </w:style>
  <w:style w:type="paragraph" w:styleId="BodyTextIndent">
    <w:name w:val="Body Text Indent"/>
    <w:basedOn w:val="Normal"/>
    <w:pPr>
      <w:spacing w:lineRule="atLeast" w:line="240"/>
      <w:ind w:firstLine="72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3516</Words>
  <CharactersWithSpaces>20046</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2001-03-19T17:22:00Z</dcterms:created>
  <dc:creator>For Help Call PC Support, x 4277</dc:creator>
  <dc:description/>
  <dc:language>en-CA</dc:language>
  <cp:lastModifiedBy/>
  <cp:lastPrinted>2001-03-19T17:15:00Z</cp:lastPrinted>
  <dcterms:modified xsi:type="dcterms:W3CDTF">2001-03-19T17:22:00Z</dcterms:modified>
  <cp:revision>2</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