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 xml:space="preserve">AMENDMENT NO. 1 TO TRANSACTION AGREEMENT DATED MAY 24, 2001, PURSUANT TO MASTER FIRM PURCHASE/SALE AGREEMENT </w:t>
      </w:r>
    </w:p>
    <w:p>
      <w:pPr>
        <w:pStyle w:val="BodyText"/>
        <w:rPr>
          <w:b/>
        </w:rPr>
      </w:pPr>
      <w:r>
        <w:rPr>
          <w:b/>
        </w:rPr>
        <w:t xml:space="preserve">BY AND BETWEEN ENOVATE, L.L.C. AND </w:t>
      </w:r>
    </w:p>
    <w:p>
      <w:pPr>
        <w:pStyle w:val="BodyText"/>
        <w:rPr>
          <w:b/>
        </w:rPr>
      </w:pPr>
      <w:r>
        <w:rPr>
          <w:b/>
        </w:rPr>
        <w:t>ALLEGHENY ENERGY SUPPLY COMPANY, LLC, DATED APRIL 26, 2001</w:t>
      </w:r>
    </w:p>
    <w:p>
      <w:pPr>
        <w:pStyle w:val="Normal"/>
        <w:jc w:val="center"/>
        <w:rPr>
          <w:b/>
        </w:rPr>
      </w:pPr>
      <w:r>
        <w:rPr>
          <w:b/>
        </w:rPr>
      </w:r>
    </w:p>
    <w:p>
      <w:pPr>
        <w:pStyle w:val="BodyText2"/>
        <w:spacing w:lineRule="auto" w:line="360"/>
        <w:ind w:firstLine="720" w:end="0"/>
        <w:rPr>
          <w:sz w:val="24"/>
        </w:rPr>
      </w:pPr>
      <w:r>
        <w:rPr>
          <w:sz w:val="24"/>
        </w:rPr>
        <w:t>This Amendment No. 1 to the Transaction Agreement, dated May 24, 2001 (“Transaction Agreement”), pursuant to the Master Firm Purchase/Sale  Agreement by and between enovate, L.L.C. and Allegheny Energy Supply Company, LLC, dated April 26, 2001 (“Master Agreement”), is entered into this ___th day of June, 2001.</w:t>
      </w:r>
    </w:p>
    <w:p>
      <w:pPr>
        <w:pStyle w:val="BodyText2"/>
        <w:spacing w:lineRule="auto" w:line="360"/>
        <w:rPr>
          <w:sz w:val="24"/>
        </w:rPr>
      </w:pPr>
      <w:r>
        <w:rPr>
          <w:sz w:val="24"/>
        </w:rPr>
        <w:tab/>
        <w:t>WHEREAS, enovate, L.L.C. (“Seller”) and Allegheny Energy Supply Company, LLC (“Buyer”) are parties to the Transaction Agreement and the Master Agreement; and</w:t>
      </w:r>
    </w:p>
    <w:p>
      <w:pPr>
        <w:pStyle w:val="BodyText2"/>
        <w:spacing w:lineRule="auto" w:line="360"/>
        <w:rPr>
          <w:sz w:val="24"/>
        </w:rPr>
      </w:pPr>
      <w:r>
        <w:rPr>
          <w:sz w:val="24"/>
        </w:rPr>
        <w:tab/>
        <w:t xml:space="preserve">WHEREAS, Seller and Buyer wish to amend the Transaction Agreement to establish a Force Majeure provision that differs from what is in the Master Agreement; </w:t>
      </w:r>
    </w:p>
    <w:p>
      <w:pPr>
        <w:pStyle w:val="BodyText2"/>
        <w:spacing w:lineRule="auto" w:line="360"/>
        <w:rPr>
          <w:sz w:val="24"/>
        </w:rPr>
      </w:pPr>
      <w:r>
        <w:rPr>
          <w:sz w:val="24"/>
        </w:rPr>
        <w:tab/>
        <w:t>NOW, THEREFORE, in consideration of the covenants and agreements contained in this Amendment, Seller and Buyer agree as follows:</w:t>
      </w:r>
    </w:p>
    <w:p>
      <w:pPr>
        <w:pStyle w:val="BodyText2"/>
        <w:spacing w:lineRule="auto" w:line="360"/>
        <w:rPr>
          <w:sz w:val="24"/>
        </w:rPr>
      </w:pPr>
      <w:r>
        <w:rPr>
          <w:sz w:val="24"/>
        </w:rPr>
        <w:t>1.</w:t>
        <w:tab/>
        <w:t>To add to the Transaction Agreement as a new Section XIV(d) the following:</w:t>
      </w:r>
    </w:p>
    <w:p>
      <w:pPr>
        <w:pStyle w:val="BodyText2"/>
        <w:spacing w:lineRule="auto" w:line="360"/>
        <w:rPr/>
      </w:pPr>
      <w:r>
        <w:rPr>
          <w:sz w:val="24"/>
        </w:rPr>
        <w:t>Notwithstanding anything in the Master Agreement, for purposes of this Transaction Agreement, Force Majeure shall mean the following.  Non-performance of any obligation under this Transaction Agreement other than the obligation to pay amounts due and owing pursuant to this Transaction Agreement shall be excused if prevented by an occurrence of Force Majeure, but only for so long as and to the extent performance is prevented by such Force Majeure event.  The Party claiming excuse shall promptly, but in no event more than three (3) Business Days after the event, advise the other Party of such Force Majeure event and shall diligently seek to remedy the occurrence.  Force Majeure</w:t>
      </w:r>
      <w:r>
        <w:rPr>
          <w:i/>
          <w:sz w:val="24"/>
        </w:rPr>
        <w:t xml:space="preserve"> </w:t>
      </w:r>
      <w:r>
        <w:rPr>
          <w:sz w:val="24"/>
        </w:rPr>
        <w:t xml:space="preserve">as used in this Transaction Agreement shall mean any event not the fault of the Party claiming Force Majeure and beyond the reasonable control of the Party in question that prevents, in whole or in part, that Party’s performance of obligations under this Transaction Agreement.  Neither Party shall be entitled to the benefit of the provisions of this Section XIV(d) to the extent that the failure was caused by the Party claiming suspension having failed to remedy the condition by taking all reasonable acts, short of litigation, if such remedy requires litigation, or having failed to resume performance of such commitments or obligations with all reasonable dispatch.  </w:t>
      </w:r>
    </w:p>
    <w:p>
      <w:pPr>
        <w:pStyle w:val="BodyText2"/>
        <w:spacing w:lineRule="auto" w:line="360"/>
        <w:rPr>
          <w:sz w:val="24"/>
        </w:rPr>
      </w:pPr>
      <w:r>
        <w:rPr>
          <w:sz w:val="24"/>
        </w:rPr>
      </w:r>
    </w:p>
    <w:p>
      <w:pPr>
        <w:pStyle w:val="BodyText"/>
        <w:tabs>
          <w:tab w:val="clear" w:pos="720"/>
          <w:tab w:val="left" w:pos="1432" w:leader="none"/>
          <w:tab w:val="left" w:pos="1800" w:leader="none"/>
          <w:tab w:val="left" w:pos="2250" w:leader="none"/>
        </w:tabs>
        <w:jc w:val="start"/>
        <w:rPr/>
      </w:pPr>
      <w:r>
        <w:rPr/>
        <w:t>Except as herein amended, the Transaction Agreement remains in full force and effect.</w:t>
      </w:r>
    </w:p>
    <w:p>
      <w:pPr>
        <w:pStyle w:val="BodyText"/>
        <w:tabs>
          <w:tab w:val="clear" w:pos="720"/>
          <w:tab w:val="left" w:pos="1432" w:leader="none"/>
          <w:tab w:val="left" w:pos="1800" w:leader="none"/>
          <w:tab w:val="left" w:pos="2250" w:leader="none"/>
        </w:tabs>
        <w:jc w:val="start"/>
        <w:rPr>
          <w:b/>
        </w:rPr>
      </w:pPr>
      <w:r>
        <w:rPr>
          <w:b/>
        </w:rPr>
      </w:r>
    </w:p>
    <w:p>
      <w:pPr>
        <w:pStyle w:val="BodyText"/>
        <w:tabs>
          <w:tab w:val="clear" w:pos="720"/>
          <w:tab w:val="left" w:pos="1432" w:leader="none"/>
          <w:tab w:val="left" w:pos="1800" w:leader="none"/>
          <w:tab w:val="left" w:pos="2250" w:leader="none"/>
        </w:tabs>
        <w:spacing w:lineRule="auto" w:line="360"/>
        <w:ind w:firstLine="720" w:end="0"/>
        <w:jc w:val="start"/>
        <w:rPr/>
      </w:pPr>
      <w:r>
        <w:rPr/>
        <w:t>IN WITNESS WHEREOF, each of the parties has caused this Amendment to be executed in duplicate by a duly authorized representative.</w:t>
      </w:r>
    </w:p>
    <w:p>
      <w:pPr>
        <w:pStyle w:val="BodyText"/>
        <w:tabs>
          <w:tab w:val="clear" w:pos="720"/>
          <w:tab w:val="left" w:pos="1432" w:leader="none"/>
          <w:tab w:val="left" w:pos="1800" w:leader="none"/>
          <w:tab w:val="left" w:pos="2250" w:leader="none"/>
        </w:tabs>
        <w:spacing w:lineRule="auto" w:line="360"/>
        <w:ind w:firstLine="720" w:end="0"/>
        <w:jc w:val="start"/>
        <w:rPr/>
      </w:pPr>
      <w:r>
        <w:rPr/>
      </w:r>
    </w:p>
    <w:p>
      <w:pPr>
        <w:pStyle w:val="BodyText"/>
        <w:tabs>
          <w:tab w:val="clear" w:pos="720"/>
          <w:tab w:val="left" w:pos="1432" w:leader="none"/>
          <w:tab w:val="left" w:pos="1800" w:leader="none"/>
          <w:tab w:val="left" w:pos="2250" w:leader="none"/>
        </w:tabs>
        <w:rPr/>
      </w:pPr>
      <w:r>
        <w:rPr/>
      </w:r>
    </w:p>
    <w:tbl>
      <w:tblPr>
        <w:tblW w:w="8856" w:type="dxa"/>
        <w:jc w:val="start"/>
        <w:tblInd w:w="0" w:type="dxa"/>
        <w:tblLayout w:type="fixed"/>
        <w:tblCellMar>
          <w:top w:w="0" w:type="dxa"/>
          <w:start w:w="108" w:type="dxa"/>
          <w:bottom w:w="0" w:type="dxa"/>
          <w:end w:w="108" w:type="dxa"/>
        </w:tblCellMar>
      </w:tblPr>
      <w:tblGrid>
        <w:gridCol w:w="1008"/>
        <w:gridCol w:w="3420"/>
        <w:gridCol w:w="630"/>
        <w:gridCol w:w="3798"/>
      </w:tblGrid>
      <w:tr>
        <w:trPr/>
        <w:tc>
          <w:tcPr>
            <w:tcW w:w="1008" w:type="dxa"/>
            <w:tcBorders/>
          </w:tcPr>
          <w:p>
            <w:pPr>
              <w:pStyle w:val="Normal"/>
              <w:snapToGrid w:val="false"/>
              <w:rPr/>
            </w:pPr>
            <w:r>
              <w:rPr/>
            </w:r>
          </w:p>
        </w:tc>
        <w:tc>
          <w:tcPr>
            <w:tcW w:w="3420" w:type="dxa"/>
            <w:tcBorders/>
          </w:tcPr>
          <w:p>
            <w:pPr>
              <w:pStyle w:val="Normal"/>
              <w:jc w:val="center"/>
              <w:rPr/>
            </w:pPr>
            <w:r>
              <w:rPr/>
              <w:t>Allegheny Energy Supply Company, LLC</w:t>
            </w:r>
          </w:p>
        </w:tc>
        <w:tc>
          <w:tcPr>
            <w:tcW w:w="630" w:type="dxa"/>
            <w:tcBorders/>
          </w:tcPr>
          <w:p>
            <w:pPr>
              <w:pStyle w:val="Normal"/>
              <w:snapToGrid w:val="false"/>
              <w:rPr/>
            </w:pPr>
            <w:r>
              <w:rPr/>
            </w:r>
          </w:p>
        </w:tc>
        <w:tc>
          <w:tcPr>
            <w:tcW w:w="3798" w:type="dxa"/>
            <w:tcBorders/>
          </w:tcPr>
          <w:p>
            <w:pPr>
              <w:pStyle w:val="Header"/>
              <w:tabs>
                <w:tab w:val="clear" w:pos="4320"/>
                <w:tab w:val="clear" w:pos="8640"/>
              </w:tabs>
              <w:jc w:val="center"/>
              <w:rPr/>
            </w:pPr>
            <w:r>
              <w:rPr/>
              <w:t>enovate, L.L.C.</w:t>
            </w:r>
          </w:p>
        </w:tc>
      </w:tr>
      <w:tr>
        <w:trPr/>
        <w:tc>
          <w:tcPr>
            <w:tcW w:w="1008" w:type="dxa"/>
            <w:tcBorders/>
          </w:tcPr>
          <w:p>
            <w:pPr>
              <w:pStyle w:val="Normal"/>
              <w:snapToGrid w:val="false"/>
              <w:rPr/>
            </w:pPr>
            <w:r>
              <w:rPr/>
            </w:r>
          </w:p>
          <w:p>
            <w:pPr>
              <w:pStyle w:val="Normal"/>
              <w:rPr/>
            </w:pPr>
            <w:r>
              <w:rPr/>
            </w:r>
          </w:p>
          <w:p>
            <w:pPr>
              <w:pStyle w:val="Normal"/>
              <w:rPr/>
            </w:pPr>
            <w:r>
              <w:rPr/>
              <w:t>By:</w:t>
            </w:r>
          </w:p>
        </w:tc>
        <w:tc>
          <w:tcPr>
            <w:tcW w:w="3420" w:type="dxa"/>
            <w:tcBorders/>
          </w:tcPr>
          <w:p>
            <w:pPr>
              <w:pStyle w:val="Normal"/>
              <w:snapToGrid w:val="false"/>
              <w:rPr/>
            </w:pPr>
            <w:r>
              <w:rPr/>
            </w:r>
          </w:p>
          <w:p>
            <w:pPr>
              <w:pStyle w:val="Normal"/>
              <w:rPr/>
            </w:pPr>
            <w:r>
              <w:rPr/>
            </w:r>
          </w:p>
          <w:p>
            <w:pPr>
              <w:pStyle w:val="Normal"/>
              <w:rPr/>
            </w:pPr>
            <w:r>
              <w:rPr/>
              <w:t>_______________________</w:t>
            </w:r>
          </w:p>
        </w:tc>
        <w:tc>
          <w:tcPr>
            <w:tcW w:w="630" w:type="dxa"/>
            <w:tcBorders/>
          </w:tcPr>
          <w:p>
            <w:pPr>
              <w:pStyle w:val="Normal"/>
              <w:snapToGrid w:val="false"/>
              <w:rPr/>
            </w:pPr>
            <w:r>
              <w:rPr/>
            </w:r>
          </w:p>
          <w:p>
            <w:pPr>
              <w:pStyle w:val="Normal"/>
              <w:rPr/>
            </w:pPr>
            <w:r>
              <w:rPr/>
            </w:r>
          </w:p>
          <w:p>
            <w:pPr>
              <w:pStyle w:val="Normal"/>
              <w:rPr/>
            </w:pPr>
            <w:r>
              <w:rPr/>
              <w:t>By:</w:t>
            </w:r>
          </w:p>
        </w:tc>
        <w:tc>
          <w:tcPr>
            <w:tcW w:w="3798" w:type="dxa"/>
            <w:tcBorders/>
          </w:tcPr>
          <w:p>
            <w:pPr>
              <w:pStyle w:val="Header"/>
              <w:tabs>
                <w:tab w:val="clear" w:pos="4320"/>
                <w:tab w:val="clear" w:pos="8640"/>
              </w:tabs>
              <w:snapToGrid w:val="false"/>
              <w:rPr/>
            </w:pPr>
            <w:r>
              <w:rPr/>
            </w:r>
          </w:p>
          <w:p>
            <w:pPr>
              <w:pStyle w:val="Header"/>
              <w:tabs>
                <w:tab w:val="clear" w:pos="4320"/>
                <w:tab w:val="clear" w:pos="8640"/>
              </w:tabs>
              <w:rPr/>
            </w:pPr>
            <w:r>
              <w:rPr/>
            </w:r>
          </w:p>
          <w:p>
            <w:pPr>
              <w:pStyle w:val="Header"/>
              <w:tabs>
                <w:tab w:val="clear" w:pos="4320"/>
                <w:tab w:val="clear" w:pos="8640"/>
              </w:tabs>
              <w:rPr/>
            </w:pPr>
            <w:r>
              <w:rPr/>
              <w:t>__________________________</w:t>
            </w:r>
          </w:p>
        </w:tc>
      </w:tr>
      <w:tr>
        <w:trPr/>
        <w:tc>
          <w:tcPr>
            <w:tcW w:w="1008" w:type="dxa"/>
            <w:tcBorders/>
          </w:tcPr>
          <w:p>
            <w:pPr>
              <w:pStyle w:val="Normal"/>
              <w:snapToGrid w:val="false"/>
              <w:rPr/>
            </w:pPr>
            <w:r>
              <w:rPr/>
            </w:r>
          </w:p>
          <w:p>
            <w:pPr>
              <w:pStyle w:val="Normal"/>
              <w:rPr/>
            </w:pPr>
            <w:r>
              <w:rPr/>
              <w:t>Name:</w:t>
            </w:r>
          </w:p>
        </w:tc>
        <w:tc>
          <w:tcPr>
            <w:tcW w:w="3420" w:type="dxa"/>
            <w:tcBorders/>
          </w:tcPr>
          <w:p>
            <w:pPr>
              <w:pStyle w:val="Normal"/>
              <w:snapToGrid w:val="false"/>
              <w:rPr/>
            </w:pPr>
            <w:r>
              <w:rPr/>
            </w:r>
          </w:p>
          <w:p>
            <w:pPr>
              <w:pStyle w:val="Normal"/>
              <w:rPr/>
            </w:pPr>
            <w:r>
              <w:rPr/>
              <w:t>________________________</w:t>
            </w:r>
          </w:p>
        </w:tc>
        <w:tc>
          <w:tcPr>
            <w:tcW w:w="630" w:type="dxa"/>
            <w:tcBorders/>
          </w:tcPr>
          <w:p>
            <w:pPr>
              <w:pStyle w:val="Normal"/>
              <w:snapToGrid w:val="false"/>
              <w:rPr/>
            </w:pPr>
            <w:r>
              <w:rPr/>
            </w:r>
          </w:p>
        </w:tc>
        <w:tc>
          <w:tcPr>
            <w:tcW w:w="3798" w:type="dxa"/>
            <w:vMerge w:val="restart"/>
            <w:tcBorders/>
          </w:tcPr>
          <w:p>
            <w:pPr>
              <w:pStyle w:val="Normal"/>
              <w:jc w:val="center"/>
              <w:rPr/>
            </w:pPr>
            <w:r>
              <w:rPr/>
              <w:t>Laura L. Luce</w:t>
            </w:r>
          </w:p>
          <w:p>
            <w:pPr>
              <w:pStyle w:val="Normal"/>
              <w:jc w:val="center"/>
              <w:rPr/>
            </w:pPr>
            <w:r>
              <w:rPr/>
              <w:t>Vice President</w:t>
            </w:r>
          </w:p>
        </w:tc>
      </w:tr>
      <w:tr>
        <w:trPr/>
        <w:tc>
          <w:tcPr>
            <w:tcW w:w="1008" w:type="dxa"/>
            <w:tcBorders/>
          </w:tcPr>
          <w:p>
            <w:pPr>
              <w:pStyle w:val="Normal"/>
              <w:snapToGrid w:val="false"/>
              <w:rPr/>
            </w:pPr>
            <w:r>
              <w:rPr/>
            </w:r>
          </w:p>
          <w:p>
            <w:pPr>
              <w:pStyle w:val="Normal"/>
              <w:rPr/>
            </w:pPr>
            <w:r>
              <w:rPr/>
              <w:t>Title:</w:t>
            </w:r>
          </w:p>
        </w:tc>
        <w:tc>
          <w:tcPr>
            <w:tcW w:w="3420" w:type="dxa"/>
            <w:tcBorders/>
          </w:tcPr>
          <w:p>
            <w:pPr>
              <w:pStyle w:val="Normal"/>
              <w:snapToGrid w:val="false"/>
              <w:rPr/>
            </w:pPr>
            <w:r>
              <w:rPr/>
            </w:r>
          </w:p>
          <w:p>
            <w:pPr>
              <w:pStyle w:val="Normal"/>
              <w:rPr/>
            </w:pPr>
            <w:r>
              <w:rPr/>
              <w:t>________________________</w:t>
            </w:r>
          </w:p>
        </w:tc>
        <w:tc>
          <w:tcPr>
            <w:tcW w:w="630" w:type="dxa"/>
            <w:tcBorders/>
          </w:tcPr>
          <w:p>
            <w:pPr>
              <w:pStyle w:val="Normal"/>
              <w:snapToGrid w:val="false"/>
              <w:rPr/>
            </w:pPr>
            <w:r>
              <w:rPr/>
            </w:r>
          </w:p>
        </w:tc>
        <w:tc>
          <w:tcPr>
            <w:tcW w:w="3798" w:type="dxa"/>
            <w:vMerge w:val="continue"/>
            <w:tcBorders/>
          </w:tcPr>
          <w:p>
            <w:pPr>
              <w:pStyle w:val="Normal"/>
              <w:snapToGrid w:val="false"/>
              <w:jc w:val="center"/>
              <w:rPr/>
            </w:pPr>
            <w:r>
              <w:rPr/>
            </w:r>
          </w:p>
        </w:tc>
      </w:tr>
    </w:tbl>
    <w:p>
      <w:pPr>
        <w:pStyle w:val="BodyText2"/>
        <w:rPr>
          <w:sz w:val="24"/>
        </w:rPr>
      </w:pPr>
      <w:r>
        <w:rPr>
          <w:sz w:val="24"/>
        </w:rPr>
      </w:r>
    </w:p>
    <w:sectPr>
      <w:headerReference w:type="default" r:id="rId2"/>
      <w:headerReference w:type="first" r:id="rId3"/>
      <w:type w:val="nextPage"/>
      <w:pgSz w:w="12240" w:h="15840"/>
      <w:pgMar w:left="1728" w:right="1728" w:gutter="0" w:header="72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6.2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2001-06-01T10:32:00Z</dcterms:created>
  <dc:creator>KLYAS</dc:creator>
  <dc:description/>
  <dc:language>en-CA</dc:language>
  <cp:lastModifiedBy>KLYAS</cp:lastModifiedBy>
  <dcterms:modified xsi:type="dcterms:W3CDTF">2001-06-04T18:05:00Z</dcterms:modified>
  <cp:revision>11</cp:revision>
  <dc:subject/>
  <dc:title/>
</cp:coreProperties>
</file>