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pStyle w:val="Normal"/>
        <w:ind w:firstLine="720" w:start="720" w:end="0"/>
        <w:jc w:val="end"/>
        <w:rPr>
          <w:rFonts w:ascii="Arial" w:hAnsi="Arial" w:cs="Arial"/>
          <w:b/>
        </w:rPr>
      </w:pPr>
      <w:r>
        <w:fldChar w:fldCharType="begin">
          <w:ffData>
            <w:name w:val="Dropdown9"/>
            <w:enabled/>
            <w:ddList>
              <w:result w:val="1"/>
              <w:listEntry w:val="SELECT DEAL TYPE"/>
              <w:listEntry w:val="NEW DEAL"/>
              <w:listEntry w:val="SUBSEQUENT INVESTMENT"/>
              <w:listEntry w:val="AMENDMENT"/>
              <w:listEntry w:val="DIVESTITURE"/>
            </w:ddList>
          </w:ffData>
        </w:fldChar>
      </w:r>
      <w:r>
        <w:rPr>
          <w:b/>
          <w:rFonts w:cs="Arial" w:ascii="Arial" w:hAnsi="Arial"/>
        </w:rPr>
        <w:instrText xml:space="preserve"> FORMDROPDOWN </w:instrText>
      </w:r>
      <w:r>
        <w:rPr>
          <w:b/>
          <w:rFonts w:cs="Arial" w:ascii="Arial" w:hAnsi="Arial"/>
        </w:rPr>
        <w:fldChar w:fldCharType="separate"/>
      </w:r>
      <w:bookmarkStart w:id="0" w:name="Dropdown9"/>
      <w:bookmarkStart w:id="1" w:name="Dropdown9"/>
      <w:bookmarkEnd w:id="1"/>
      <w:r/>
      <w:r>
        <w:rPr>
          <w:b/>
          <w:rFonts w:cs="Arial" w:ascii="Arial" w:hAnsi="Arial"/>
        </w:rPr>
        <w:fldChar w:fldCharType="end"/>
      </w:r>
      <w:r>
        <w:rPr>
          <w:rFonts w:cs="Arial" w:ascii="Arial" w:hAnsi="Arial"/>
          <w:b/>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ind w:end="-14"/>
              <w:rPr>
                <w:rFonts w:ascii="Arial" w:hAnsi="Arial" w:cs="Arial"/>
                <w:b/>
                <w:sz w:val="20"/>
              </w:rPr>
            </w:pPr>
            <w:r>
              <w:rPr>
                <w:rFonts w:cs="Arial" w:ascii="Arial" w:hAnsi="Arial"/>
                <w:b/>
                <w:sz w:val="20"/>
              </w:rPr>
              <w:t>DEAL NAME:</w:t>
            </w:r>
          </w:p>
          <w:p>
            <w:pPr>
              <w:pStyle w:val="Normal"/>
              <w:ind w:end="-738"/>
              <w:rPr>
                <w:rFonts w:ascii="Arial" w:hAnsi="Arial" w:cs="Arial"/>
                <w:color w:val="0000FF"/>
                <w:sz w:val="20"/>
              </w:rPr>
            </w:pPr>
            <w:r>
              <w:fldChar w:fldCharType="begin">
                <w:ffData>
                  <w:name w:val="Text1"/>
                  <w:enabled/>
                  <w:calcOnExit w:val="0"/>
                  <w:textInput/>
                </w:ffData>
              </w:fldChar>
            </w:r>
            <w:r>
              <w:rPr>
                <w:sz w:val="20"/>
                <w:b/>
                <w:rFonts w:cs="Arial" w:ascii="Arial" w:hAnsi="Arial"/>
                <w:lang w:val="en-CA"/>
              </w:rPr>
              <w:instrText xml:space="preserve"> FORMTEXT </w:instrText>
            </w:r>
            <w:r>
              <w:rPr>
                <w:rFonts w:cs="Arial" w:ascii="Arial" w:hAnsi="Arial"/>
                <w:b/>
                <w:sz w:val="20"/>
                <w:lang w:val="en-CA"/>
              </w:rPr>
            </w:r>
            <w:r>
              <w:rPr>
                <w:sz w:val="20"/>
                <w:b/>
                <w:rFonts w:cs="Arial" w:ascii="Arial" w:hAnsi="Arial"/>
                <w:lang w:val="en-CA"/>
              </w:rPr>
              <w:fldChar w:fldCharType="separate"/>
            </w:r>
            <w:r>
              <w:rPr>
                <w:rFonts w:cs="Arial" w:ascii="Arial" w:hAnsi="Arial"/>
                <w:b/>
                <w:sz w:val="20"/>
                <w:lang w:val="en-CA"/>
              </w:rPr>
              <w:t>Outage Options–Allegheny "B" (7)</w:t>
            </w:r>
            <w:r/>
            <w:r>
              <w:rPr>
                <w:sz w:val="20"/>
                <w:b/>
                <w:rFonts w:cs="Arial" w:ascii="Arial" w:hAnsi="Arial"/>
                <w:lang w:val="en-CA"/>
              </w:rPr>
              <w:fldChar w:fldCharType="end"/>
            </w:r>
            <w:r>
              <w:rPr>
                <w:rFonts w:cs="Arial" w:ascii="Arial" w:hAnsi="Arial"/>
                <w:b/>
                <w:sz w:val="20"/>
                <w:lang w:val="en-CA"/>
              </w:rPr>
            </w:r>
          </w:p>
          <w:p>
            <w:pPr>
              <w:pStyle w:val="Normal"/>
              <w:rPr>
                <w:rFonts w:ascii="Arial" w:hAnsi="Arial" w:cs="Arial"/>
                <w:b/>
                <w:color w:val="0000FF"/>
                <w:sz w:val="20"/>
              </w:rPr>
            </w:pPr>
            <w:r>
              <w:rPr>
                <w:rFonts w:cs="Arial" w:ascii="Arial" w:hAnsi="Arial"/>
                <w:b/>
                <w:color w:val="0000FF"/>
                <w:sz w:val="20"/>
              </w:rPr>
            </w:r>
          </w:p>
          <w:p>
            <w:pPr>
              <w:pStyle w:val="Header"/>
              <w:widowControl/>
              <w:tabs>
                <w:tab w:val="clear" w:pos="4320"/>
                <w:tab w:val="clear" w:pos="8640"/>
              </w:tabs>
              <w:rPr>
                <w:rFonts w:ascii="Arial" w:hAnsi="Arial" w:cs="Arial"/>
                <w:b/>
              </w:rPr>
            </w:pPr>
            <w:r>
              <w:rPr>
                <w:rFonts w:cs="Arial" w:ascii="Arial" w:hAnsi="Arial"/>
              </w:rPr>
              <w:t>Counterparty:</w:t>
            </w:r>
          </w:p>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rPr>
              <w:instrText xml:space="preserve"> FORMTEXT </w:instrText>
            </w:r>
            <w:r>
              <w:rPr>
                <w:rFonts w:cs="Arial" w:ascii="Arial" w:hAnsi="Arial"/>
                <w:b/>
                <w:sz w:val="20"/>
                <w:lang w:val="en-CA"/>
              </w:rPr>
            </w:r>
            <w:r>
              <w:rPr>
                <w:sz w:val="20"/>
                <w:b/>
                <w:rFonts w:cs="Arial" w:ascii="Arial" w:hAnsi="Arial"/>
                <w:lang w:val="en-CA"/>
              </w:rPr>
              <w:fldChar w:fldCharType="separate"/>
            </w:r>
            <w:r>
              <w:rPr>
                <w:rFonts w:cs="Arial" w:ascii="Arial" w:hAnsi="Arial"/>
                <w:b/>
                <w:sz w:val="20"/>
                <w:lang w:val="en-CA"/>
              </w:rPr>
              <w:t>Allegheny Power Supply</w:t>
            </w:r>
            <w:r/>
            <w:r>
              <w:rPr>
                <w:sz w:val="20"/>
                <w:b/>
                <w:rFonts w:cs="Arial" w:ascii="Arial" w:hAnsi="Arial"/>
                <w:lang w:val="en-CA"/>
              </w:rPr>
              <w:fldChar w:fldCharType="end"/>
            </w:r>
            <w:r>
              <w:rPr>
                <w:rFonts w:cs="Arial" w:ascii="Arial" w:hAnsi="Arial"/>
                <w:b/>
                <w:sz w:val="20"/>
                <w:lang w:val="en-CA"/>
              </w:rPr>
            </w:r>
          </w:p>
          <w:p>
            <w:pPr>
              <w:pStyle w:val="Normal"/>
              <w:rPr>
                <w:rFonts w:ascii="Arial" w:hAnsi="Arial" w:cs="Arial"/>
                <w:b/>
                <w:sz w:val="20"/>
              </w:rPr>
            </w:pPr>
            <w:r>
              <w:rPr>
                <w:rFonts w:cs="Arial" w:ascii="Arial" w:hAnsi="Arial"/>
                <w:b/>
                <w:sz w:val="20"/>
              </w:rPr>
            </w:r>
          </w:p>
          <w:p>
            <w:pPr>
              <w:pStyle w:val="Normal"/>
              <w:ind w:end="-738"/>
              <w:rPr>
                <w:rFonts w:ascii="Arial" w:hAnsi="Arial" w:cs="Arial"/>
                <w:color w:val="0000FF"/>
                <w:sz w:val="20"/>
              </w:rPr>
            </w:pPr>
            <w:r>
              <w:rPr>
                <w:rFonts w:cs="Arial" w:ascii="Arial" w:hAnsi="Arial"/>
                <w:color w:val="0000FF"/>
                <w:sz w:val="20"/>
              </w:rPr>
              <w:t>Business Unit:</w:t>
            </w:r>
          </w:p>
          <w:p>
            <w:pPr>
              <w:pStyle w:val="Normal"/>
              <w:ind w:end="-738"/>
              <w:rPr>
                <w:rFonts w:ascii="Arial" w:hAnsi="Arial" w:cs="Arial"/>
                <w:sz w:val="20"/>
              </w:rPr>
            </w:pPr>
            <w:r>
              <w:fldChar w:fldCharType="begin">
                <w:ffData>
                  <w:name w:val="Dropdown6"/>
                  <w:enabled/>
                  <w:ddList>
                    <w:result w:val="9"/>
                    <w:listEntry w:val="SELECT BUSINESS UNIT"/>
                    <w:listEntry w:val="Enron Americas"/>
                    <w:listEntry w:val="Enron Broadband Services"/>
                    <w:listEntry w:val="Enron Corp."/>
                    <w:listEntry w:val="Enron Energy Services"/>
                    <w:listEntry w:val="Enron Energy and Operational Services"/>
                    <w:listEntry w:val="Enron Europe"/>
                    <w:listEntry w:val="Enron Global Assets"/>
                    <w:listEntry w:val="Enron Global Finance"/>
                    <w:listEntry w:val="Enron Global Markets"/>
                    <w:listEntry w:val="Enron Industrial Markets"/>
                    <w:listEntry w:val="Enron Net Works"/>
                    <w:listEntry w:val="Enron Transportation Services"/>
                    <w:listEntry w:val="Enron Wind"/>
                    <w:listEntry w:val="NEPCO"/>
                    <w:listEntry w:val="Northern Border"/>
                    <w:listEntry w:val="Wholesale Services"/>
                    <w:listEntry w:val="Enron Investment Partners"/>
                    <w:listEntry w:val="Portland General Electric"/>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p>
            <w:pPr>
              <w:pStyle w:val="Normal"/>
              <w:rPr>
                <w:rFonts w:ascii="Arial" w:hAnsi="Arial" w:cs="Arial"/>
                <w:b/>
                <w:sz w:val="20"/>
              </w:rPr>
            </w:pPr>
            <w:r>
              <w:rPr>
                <w:rFonts w:cs="Arial" w:ascii="Arial" w:hAnsi="Arial"/>
                <w:b/>
                <w:sz w:val="20"/>
              </w:rPr>
            </w:r>
          </w:p>
          <w:p>
            <w:pPr>
              <w:pStyle w:val="Normal"/>
              <w:ind w:end="-738"/>
              <w:rPr>
                <w:rFonts w:ascii="Arial" w:hAnsi="Arial" w:cs="Arial"/>
                <w:sz w:val="20"/>
              </w:rPr>
            </w:pPr>
            <w:r>
              <w:rPr>
                <w:rFonts w:cs="Arial" w:ascii="Arial" w:hAnsi="Arial"/>
                <w:sz w:val="20"/>
              </w:rPr>
              <w:t xml:space="preserve">Business Unit Originator: </w:t>
            </w:r>
          </w:p>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David Hoog</w:t>
            </w:r>
            <w:r/>
            <w:r>
              <w:rPr>
                <w:sz w:val="20"/>
                <w:rFonts w:cs="Arial" w:ascii="Arial" w:hAnsi="Arial"/>
                <w:lang w:val="en-CA"/>
              </w:rPr>
              <w:fldChar w:fldCharType="end"/>
            </w:r>
            <w:r>
              <w:rPr>
                <w:rFonts w:cs="Arial" w:ascii="Arial" w:hAnsi="Arial"/>
                <w:sz w:val="20"/>
                <w:lang w:val="en-CA"/>
              </w:rPr>
            </w:r>
          </w:p>
          <w:p>
            <w:pPr>
              <w:pStyle w:val="Normal"/>
              <w:rPr>
                <w:rFonts w:ascii="Arial" w:hAnsi="Arial" w:cs="Arial"/>
                <w:b/>
                <w:sz w:val="20"/>
              </w:rPr>
            </w:pPr>
            <w:r>
              <w:rPr>
                <w:rFonts w:cs="Arial" w:ascii="Arial" w:hAnsi="Arial"/>
                <w:b/>
                <w:sz w:val="20"/>
              </w:rPr>
            </w:r>
          </w:p>
          <w:p>
            <w:pPr>
              <w:pStyle w:val="Normal"/>
              <w:ind w:end="-14"/>
              <w:rPr>
                <w:rFonts w:ascii="Arial" w:hAnsi="Arial" w:cs="Arial"/>
                <w:b/>
                <w:color w:val="0000FF"/>
                <w:sz w:val="20"/>
              </w:rPr>
            </w:pPr>
            <w:r>
              <w:rPr>
                <w:rFonts w:cs="Arial" w:ascii="Arial" w:hAnsi="Arial"/>
                <w:color w:val="0000FF"/>
                <w:sz w:val="20"/>
              </w:rPr>
              <w:t>Industry:</w:t>
            </w:r>
          </w:p>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rPr>
              <w:instrText xml:space="preserve"> FORMTEXT </w:instrText>
            </w:r>
            <w:r>
              <w:rPr>
                <w:rFonts w:cs="Arial" w:ascii="Arial" w:hAnsi="Arial"/>
                <w:sz w:val="18"/>
                <w:lang w:val="en-CA"/>
              </w:rPr>
            </w:r>
            <w:r>
              <w:rPr>
                <w:sz w:val="18"/>
                <w:rFonts w:cs="Arial" w:ascii="Arial" w:hAnsi="Arial"/>
                <w:lang w:val="en-CA"/>
              </w:rPr>
              <w:fldChar w:fldCharType="separate"/>
            </w:r>
            <w:r>
              <w:rPr>
                <w:rFonts w:cs="Arial" w:ascii="Arial" w:hAnsi="Arial"/>
                <w:sz w:val="18"/>
                <w:lang w:val="en-CA"/>
              </w:rPr>
              <w:t>Wholesale Energy-Non-Regulated Power Generation</w:t>
            </w:r>
            <w:r/>
            <w:r>
              <w:rPr>
                <w:sz w:val="18"/>
                <w:rFonts w:cs="Arial" w:ascii="Arial" w:hAnsi="Arial"/>
                <w:lang w:val="en-CA"/>
              </w:rPr>
              <w:fldChar w:fldCharType="end"/>
            </w:r>
            <w:r>
              <w:rPr>
                <w:rFonts w:cs="Arial" w:ascii="Arial" w:hAnsi="Arial"/>
                <w:sz w:val="18"/>
                <w:lang w:val="en-CA"/>
              </w:rPr>
            </w:r>
          </w:p>
          <w:p>
            <w:pPr>
              <w:pStyle w:val="Normal"/>
              <w:rPr>
                <w:rFonts w:ascii="Arial" w:hAnsi="Arial" w:cs="Arial"/>
                <w:b/>
                <w:sz w:val="20"/>
              </w:rPr>
            </w:pPr>
            <w:r>
              <w:rPr>
                <w:rFonts w:cs="Arial" w:ascii="Arial" w:hAnsi="Arial"/>
                <w:b/>
                <w:sz w:val="20"/>
              </w:rPr>
            </w:r>
          </w:p>
          <w:p>
            <w:pPr>
              <w:pStyle w:val="Normal"/>
              <w:ind w:end="-738"/>
              <w:rPr>
                <w:rFonts w:ascii="Arial" w:hAnsi="Arial" w:cs="Arial"/>
                <w:sz w:val="20"/>
              </w:rPr>
            </w:pPr>
            <w:r>
              <w:rPr>
                <w:rFonts w:cs="Arial" w:ascii="Arial" w:hAnsi="Arial"/>
                <w:sz w:val="20"/>
              </w:rPr>
              <w:t>This Transaction:</w:t>
            </w:r>
          </w:p>
          <w:p>
            <w:pPr>
              <w:pStyle w:val="Normal"/>
              <w:ind w:end="-738"/>
              <w:rPr>
                <w:rFonts w:ascii="Arial" w:hAnsi="Arial" w:cs="Arial"/>
                <w:sz w:val="20"/>
              </w:rPr>
            </w:pPr>
            <w:r>
              <w:fldChar w:fldCharType="begin">
                <w:ffData>
                  <w:name w:val="Unnamed"/>
                  <w:enabled/>
                  <w:ddList>
                    <w:result w:val="2"/>
                    <w:listEntry w:val="SELECT PUBLIC OR PRIVATE"/>
                    <w:listEntry w:val="Public"/>
                    <w:listEntry w:val="Private"/>
                  </w:ddList>
                </w:ffData>
              </w:fldChar>
            </w:r>
            <w:r>
              <w:rPr>
                <w:sz w:val="20"/>
                <w:rFonts w:cs="Arial" w:ascii="Arial" w:hAnsi="Arial"/>
              </w:rPr>
              <w:instrText xml:space="preserve"> FORMDROPDOWN </w:instrText>
            </w:r>
            <w:r>
              <w:rPr>
                <w:sz w:val="20"/>
                <w:rFonts w:cs="Arial" w:ascii="Arial" w:hAnsi="Arial"/>
              </w:rPr>
              <w:fldChar w:fldCharType="separate"/>
            </w:r>
            <w:bookmarkStart w:id="4" w:name="Unnamed"/>
            <w:bookmarkStart w:id="5" w:name="Unnamed"/>
            <w:bookmarkEnd w:id="5"/>
            <w:r/>
            <w:r>
              <w:rPr>
                <w:sz w:val="20"/>
                <w:rFonts w:cs="Arial" w:ascii="Arial" w:hAnsi="Arial"/>
              </w:rPr>
              <w:fldChar w:fldCharType="end"/>
            </w:r>
            <w:r>
              <w:rPr>
                <w:rFonts w:cs="Arial" w:ascii="Arial" w:hAnsi="Arial"/>
                <w:sz w:val="20"/>
              </w:rPr>
            </w:r>
          </w:p>
          <w:p>
            <w:pPr>
              <w:pStyle w:val="Normal"/>
              <w:rPr>
                <w:rFonts w:ascii="Arial" w:hAnsi="Arial" w:cs="Arial"/>
                <w:b/>
                <w:sz w:val="20"/>
              </w:rPr>
            </w:pPr>
            <w:r>
              <w:rPr>
                <w:rFonts w:cs="Arial" w:ascii="Arial" w:hAnsi="Arial"/>
                <w:b/>
                <w:sz w:val="20"/>
              </w:rPr>
            </w:r>
          </w:p>
          <w:p>
            <w:pPr>
              <w:pStyle w:val="Normal"/>
              <w:ind w:end="-738"/>
              <w:rPr>
                <w:rFonts w:ascii="Arial" w:hAnsi="Arial" w:cs="Arial"/>
                <w:b/>
                <w:sz w:val="20"/>
              </w:rPr>
            </w:pPr>
            <w:r>
              <w:rPr>
                <w:rFonts w:cs="Arial" w:ascii="Arial" w:hAnsi="Arial"/>
                <w:b/>
                <w:sz w:val="20"/>
              </w:rPr>
            </w:r>
          </w:p>
          <w:p>
            <w:pPr>
              <w:pStyle w:val="Normal"/>
              <w:ind w:end="-738"/>
              <w:rPr>
                <w:rFonts w:ascii="Arial" w:hAnsi="Arial" w:cs="Arial"/>
                <w:sz w:val="20"/>
              </w:rPr>
            </w:pPr>
            <w:r>
              <w:fldChar w:fldCharType="begin">
                <w:ffData>
                  <w:name w:val="Unnamed Copy 1"/>
                  <w:enabled/>
                  <w:ddList>
                    <w:result w:val="3"/>
                    <w:listEntry w:val="SELECT MERCHANT, STRATEGIC OR TRADING"/>
                    <w:listEntry w:val="Merchant"/>
                    <w:listEntry w:val="Strategic"/>
                    <w:listEntry w:val="Trading"/>
                  </w:ddList>
                </w:ffData>
              </w:fldChar>
            </w:r>
            <w:r>
              <w:rPr>
                <w:sz w:val="20"/>
                <w:rFonts w:cs="Arial" w:ascii="Arial" w:hAnsi="Arial"/>
              </w:rPr>
              <w:instrText xml:space="preserve"> FORMDROPDOWN </w:instrText>
            </w:r>
            <w:r>
              <w:rPr>
                <w:sz w:val="20"/>
                <w:rFonts w:cs="Arial" w:ascii="Arial" w:hAnsi="Arial"/>
              </w:rPr>
              <w:fldChar w:fldCharType="separate"/>
            </w:r>
            <w:bookmarkStart w:id="6" w:name="Unnamed_Copy_1"/>
            <w:bookmarkStart w:id="7" w:name="Unnamed_Copy_1"/>
            <w:bookmarkEnd w:id="7"/>
            <w:r/>
            <w:r>
              <w:rPr>
                <w:sz w:val="20"/>
                <w:rFonts w:cs="Arial" w:ascii="Arial" w:hAnsi="Arial"/>
              </w:rPr>
              <w:fldChar w:fldCharType="end"/>
            </w:r>
            <w:r>
              <w:rPr>
                <w:rFonts w:cs="Arial" w:ascii="Arial" w:hAnsi="Arial"/>
                <w:sz w:val="20"/>
              </w:rPr>
            </w:r>
          </w:p>
          <w:p>
            <w:pPr>
              <w:pStyle w:val="Normal"/>
              <w:rPr>
                <w:rFonts w:ascii="Arial" w:hAnsi="Arial" w:cs="Arial"/>
                <w:b/>
                <w:sz w:val="20"/>
              </w:rPr>
            </w:pPr>
            <w:r>
              <w:rPr>
                <w:rFonts w:cs="Arial" w:ascii="Arial" w:hAnsi="Arial"/>
                <w:b/>
                <w:sz w:val="20"/>
              </w:rPr>
            </w:r>
          </w:p>
          <w:p>
            <w:pPr>
              <w:pStyle w:val="Normal"/>
              <w:ind w:end="-738"/>
              <w:rPr>
                <w:rFonts w:ascii="Arial" w:hAnsi="Arial" w:cs="Arial"/>
                <w:b/>
                <w:sz w:val="20"/>
              </w:rPr>
            </w:pPr>
            <w:r>
              <w:rPr>
                <w:rFonts w:cs="Arial" w:ascii="Arial" w:hAnsi="Arial"/>
                <w:b/>
                <w:sz w:val="20"/>
              </w:rPr>
            </w:r>
          </w:p>
          <w:p>
            <w:pPr>
              <w:pStyle w:val="Normal"/>
              <w:ind w:end="-738"/>
              <w:rPr>
                <w:rFonts w:ascii="Arial" w:hAnsi="Arial" w:cs="Arial"/>
                <w:sz w:val="20"/>
              </w:rPr>
            </w:pPr>
            <w:r>
              <w:fldChar w:fldCharType="begin">
                <w:ffData>
                  <w:name w:val="Unnamed Copy 2"/>
                  <w:enabled/>
                  <w:ddList>
                    <w:result w:val="1"/>
                    <w:listEntry w:val="SELECT CONFORMING OR NONCONFORMING"/>
                    <w:listEntry w:val="Conforming"/>
                    <w:listEntry w:val="Nonconforming"/>
                  </w:ddList>
                </w:ffData>
              </w:fldChar>
            </w:r>
            <w:r>
              <w:rPr>
                <w:sz w:val="20"/>
                <w:rFonts w:cs="Arial" w:ascii="Arial" w:hAnsi="Arial"/>
              </w:rPr>
              <w:instrText xml:space="preserve"> FORMDROPDOWN </w:instrText>
            </w:r>
            <w:r>
              <w:rPr>
                <w:sz w:val="20"/>
                <w:rFonts w:cs="Arial" w:ascii="Arial" w:hAnsi="Arial"/>
              </w:rPr>
              <w:fldChar w:fldCharType="separate"/>
            </w:r>
            <w:bookmarkStart w:id="8" w:name="Unnamed_Copy_2"/>
            <w:bookmarkStart w:id="9" w:name="Unnamed_Copy_2"/>
            <w:bookmarkEnd w:id="9"/>
            <w:r/>
            <w:r>
              <w:rPr>
                <w:sz w:val="20"/>
                <w:rFonts w:cs="Arial" w:ascii="Arial" w:hAnsi="Arial"/>
              </w:rPr>
              <w:fldChar w:fldCharType="end"/>
            </w:r>
            <w:r>
              <w:rPr>
                <w:rFonts w:cs="Arial" w:ascii="Arial" w:hAnsi="Arial"/>
                <w:sz w:val="20"/>
              </w:rPr>
            </w:r>
          </w:p>
          <w:p>
            <w:pPr>
              <w:pStyle w:val="Normal"/>
              <w:rPr>
                <w:rFonts w:ascii="Arial" w:hAnsi="Arial" w:cs="Arial"/>
                <w:b/>
                <w:sz w:val="20"/>
              </w:rPr>
            </w:pPr>
            <w:r>
              <w:rPr>
                <w:rFonts w:cs="Arial" w:ascii="Arial" w:hAnsi="Arial"/>
                <w:b/>
                <w:sz w:val="20"/>
              </w:rPr>
            </w:r>
          </w:p>
          <w:p>
            <w:pPr>
              <w:pStyle w:val="Normal"/>
              <w:ind w:firstLine="90" w:start="-198" w:end="-738"/>
              <w:rPr>
                <w:rFonts w:ascii="Arial" w:hAnsi="Arial" w:cs="Arial"/>
                <w:b/>
                <w:sz w:val="20"/>
              </w:rPr>
            </w:pPr>
            <w:r>
              <w:rPr>
                <w:rFonts w:cs="Arial" w:ascii="Arial" w:hAnsi="Arial"/>
                <w:b/>
                <w:sz w:val="20"/>
              </w:rPr>
            </w:r>
          </w:p>
        </w:tc>
        <w:tc>
          <w:tcPr>
            <w:tcW w:w="5040" w:type="dxa"/>
            <w:tcBorders>
              <w:top w:val="single" w:sz="8" w:space="0" w:color="000000"/>
            </w:tcBorders>
          </w:tcPr>
          <w:p>
            <w:pPr>
              <w:pStyle w:val="Normal"/>
              <w:ind w:end="-738"/>
              <w:rPr>
                <w:rFonts w:ascii="Arial" w:hAnsi="Arial" w:cs="Arial"/>
                <w:sz w:val="20"/>
              </w:rPr>
            </w:pPr>
            <w:r>
              <w:rPr>
                <w:rFonts w:cs="Arial" w:ascii="Arial" w:hAnsi="Arial"/>
                <w:sz w:val="20"/>
              </w:rPr>
              <w:t>Date DASH Completed:</w:t>
            </w:r>
          </w:p>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rPr>
              <w:instrText xml:space="preserve"> FORMTEXT </w:instrText>
            </w:r>
            <w:r>
              <w:rPr>
                <w:rFonts w:cs="Arial" w:ascii="Arial" w:hAnsi="Arial"/>
                <w:sz w:val="20"/>
              </w:rPr>
            </w:r>
            <w:r>
              <w:rPr>
                <w:sz w:val="20"/>
                <w:rFonts w:cs="Arial" w:ascii="Arial" w:hAnsi="Arial"/>
              </w:rPr>
              <w:fldChar w:fldCharType="separate"/>
            </w:r>
            <w:r>
              <w:rPr>
                <w:rFonts w:cs="Arial" w:ascii="Arial" w:hAnsi="Arial"/>
                <w:sz w:val="20"/>
              </w:rPr>
              <w:t>Ju</w:t>
            </w:r>
            <w:r>
              <w:rPr>
                <w:rFonts w:cs="Arial" w:ascii="Arial" w:hAnsi="Arial"/>
                <w:sz w:val="20"/>
                <w:lang w:val="en-CA"/>
              </w:rPr>
              <w:t>ne 7, 2001</w:t>
            </w:r>
            <w:r/>
            <w:r>
              <w:rPr>
                <w:sz w:val="20"/>
                <w:rFonts w:cs="Arial" w:ascii="Arial" w:hAnsi="Arial"/>
                <w:lang w:val="en-CA"/>
              </w:rPr>
              <w:fldChar w:fldCharType="end"/>
            </w:r>
            <w:r>
              <w:rPr>
                <w:rFonts w:cs="Arial" w:ascii="Arial" w:hAnsi="Arial"/>
                <w:sz w:val="20"/>
                <w:lang w:val="en-CA"/>
              </w:rPr>
            </w:r>
          </w:p>
          <w:p>
            <w:pPr>
              <w:pStyle w:val="Normal"/>
              <w:rPr>
                <w:rFonts w:ascii="Arial" w:hAnsi="Arial" w:cs="Arial"/>
                <w:sz w:val="20"/>
              </w:rPr>
            </w:pPr>
            <w:r>
              <w:rPr>
                <w:rFonts w:cs="Arial" w:ascii="Arial" w:hAnsi="Arial"/>
                <w:sz w:val="20"/>
              </w:rPr>
            </w:r>
          </w:p>
          <w:p>
            <w:pPr>
              <w:pStyle w:val="Normal"/>
              <w:ind w:end="-738"/>
              <w:rPr>
                <w:rFonts w:ascii="Arial" w:hAnsi="Arial" w:cs="Arial"/>
                <w:color w:val="0000FF"/>
                <w:sz w:val="20"/>
              </w:rPr>
            </w:pPr>
            <w:r>
              <w:rPr>
                <w:rFonts w:cs="Arial" w:ascii="Arial" w:hAnsi="Arial"/>
                <w:color w:val="0000FF"/>
                <w:sz w:val="20"/>
              </w:rPr>
              <w:t>RAC Underwriter:</w:t>
            </w:r>
          </w:p>
          <w:p>
            <w:pPr>
              <w:pStyle w:val="Normal"/>
              <w:ind w:end="-738"/>
              <w:rPr>
                <w:rFonts w:ascii="Arial" w:hAnsi="Arial" w:cs="Arial"/>
                <w:sz w:val="20"/>
              </w:rPr>
            </w:pPr>
            <w:r>
              <w:fldChar w:fldCharType="begin">
                <w:ffData>
                  <w:name w:val="Dropdown7"/>
                  <w:enabled/>
                  <w:ddList>
                    <w:result w:val="4"/>
                    <w:listEntry w:val="SELECT UNDERWRITER"/>
                    <w:listEntry w:val="Dave Gorte"/>
                    <w:listEntry w:val="Brad Larson"/>
                    <w:listEntry w:val="Randy Petersen"/>
                    <w:listEntry w:val="Chip Schneider"/>
                    <w:listEntry w:val="Michael Tribolet"/>
                    <w:listEntry w:val="Karen Barbour"/>
                    <w:listEntry w:val="David Crews"/>
                    <w:listEntry w:val="Jay Hachen"/>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p>
            <w:pPr>
              <w:pStyle w:val="Normal"/>
              <w:rPr>
                <w:rFonts w:ascii="Arial" w:hAnsi="Arial" w:cs="Arial"/>
                <w:sz w:val="20"/>
              </w:rPr>
            </w:pPr>
            <w:r>
              <w:rPr>
                <w:rFonts w:cs="Arial" w:ascii="Arial" w:hAnsi="Arial"/>
                <w:sz w:val="20"/>
              </w:rPr>
            </w:r>
          </w:p>
          <w:p>
            <w:pPr>
              <w:pStyle w:val="Normal"/>
              <w:ind w:end="-738"/>
              <w:rPr/>
            </w:pPr>
            <w:r>
              <w:rPr>
                <w:rFonts w:cs="Arial" w:ascii="Arial" w:hAnsi="Arial"/>
                <w:sz w:val="20"/>
              </w:rPr>
              <w:t>RAC Analyst:</w:t>
            </w:r>
          </w:p>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p>
            <w:pPr>
              <w:pStyle w:val="Normal"/>
              <w:rPr>
                <w:rFonts w:ascii="Arial" w:hAnsi="Arial" w:cs="Arial"/>
                <w:sz w:val="20"/>
              </w:rPr>
            </w:pPr>
            <w:r>
              <w:rPr>
                <w:rFonts w:cs="Arial" w:ascii="Arial" w:hAnsi="Arial"/>
                <w:sz w:val="20"/>
              </w:rPr>
            </w:r>
          </w:p>
          <w:p>
            <w:pPr>
              <w:pStyle w:val="Normal"/>
              <w:ind w:end="-738"/>
              <w:rPr>
                <w:rFonts w:ascii="Arial" w:hAnsi="Arial" w:cs="Arial"/>
                <w:color w:val="0000FF"/>
                <w:sz w:val="20"/>
              </w:rPr>
            </w:pPr>
            <w:r>
              <w:rPr>
                <w:rFonts w:cs="Arial" w:ascii="Arial" w:hAnsi="Arial"/>
                <w:color w:val="0000FF"/>
                <w:sz w:val="20"/>
              </w:rPr>
              <w:t>Transaction Type:</w:t>
            </w:r>
          </w:p>
          <w:p>
            <w:pPr>
              <w:pStyle w:val="Normal"/>
              <w:ind w:end="-738"/>
              <w:rPr>
                <w:rFonts w:ascii="Arial" w:hAnsi="Arial" w:cs="Arial"/>
                <w:color w:val="0000FF"/>
                <w:sz w:val="20"/>
              </w:rPr>
            </w:pPr>
            <w:r>
              <w:fldChar w:fldCharType="begin">
                <w:ffData>
                  <w:name w:val="Dropdown3"/>
                  <w:enabled/>
                  <w:ddList>
                    <w:result w:val="15"/>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p>
            <w:pPr>
              <w:pStyle w:val="Normal"/>
              <w:rPr>
                <w:rFonts w:ascii="Arial" w:hAnsi="Arial" w:cs="Arial"/>
                <w:color w:val="0000FF"/>
                <w:sz w:val="20"/>
              </w:rPr>
            </w:pPr>
            <w:r>
              <w:rPr>
                <w:rFonts w:cs="Arial" w:ascii="Arial" w:hAnsi="Arial"/>
                <w:color w:val="0000FF"/>
                <w:sz w:val="20"/>
              </w:rPr>
            </w:r>
          </w:p>
          <w:p>
            <w:pPr>
              <w:pStyle w:val="Normal"/>
              <w:ind w:end="-738"/>
              <w:rPr>
                <w:rFonts w:ascii="Arial" w:hAnsi="Arial" w:cs="Arial"/>
                <w:color w:val="0000FF"/>
                <w:sz w:val="20"/>
              </w:rPr>
            </w:pPr>
            <w:r>
              <w:rPr>
                <w:rFonts w:cs="Arial" w:ascii="Arial" w:hAnsi="Arial"/>
                <w:color w:val="0000FF"/>
                <w:sz w:val="20"/>
              </w:rPr>
              <w:t>Capital Funding Source:</w:t>
            </w:r>
          </w:p>
          <w:p>
            <w:pPr>
              <w:pStyle w:val="Normal"/>
              <w:ind w:end="-738"/>
              <w:rPr>
                <w:rFonts w:ascii="Arial" w:hAnsi="Arial" w:cs="Arial"/>
                <w:color w:val="0000FF"/>
                <w:sz w:val="20"/>
              </w:rPr>
            </w:pPr>
            <w:r>
              <w:fldChar w:fldCharType="begin">
                <w:ffData>
                  <w:name w:val="Dropdown2"/>
                  <w:enabled/>
                  <w:ddList>
                    <w:result w:val="1"/>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p>
            <w:pPr>
              <w:pStyle w:val="Normal"/>
              <w:rPr>
                <w:rFonts w:ascii="Arial" w:hAnsi="Arial" w:cs="Arial"/>
                <w:color w:val="0000FF"/>
                <w:sz w:val="20"/>
              </w:rPr>
            </w:pPr>
            <w:r>
              <w:rPr>
                <w:rFonts w:cs="Arial" w:ascii="Arial" w:hAnsi="Arial"/>
                <w:color w:val="0000FF"/>
                <w:sz w:val="20"/>
              </w:rPr>
            </w:r>
          </w:p>
          <w:p>
            <w:pPr>
              <w:pStyle w:val="Normal"/>
              <w:ind w:end="-738"/>
              <w:rPr>
                <w:rFonts w:ascii="Arial" w:hAnsi="Arial" w:cs="Arial"/>
                <w:color w:val="0000FF"/>
                <w:sz w:val="20"/>
              </w:rPr>
            </w:pPr>
            <w:r>
              <w:rPr>
                <w:rFonts w:cs="Arial" w:ascii="Arial" w:hAnsi="Arial"/>
                <w:color w:val="0000FF"/>
                <w:sz w:val="20"/>
              </w:rPr>
              <w:t>Country:</w:t>
            </w:r>
          </w:p>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USA</w:t>
            </w:r>
            <w:r/>
            <w:r>
              <w:rPr>
                <w:sz w:val="20"/>
                <w:rFonts w:cs="Arial" w:ascii="Arial" w:hAnsi="Arial"/>
                <w:lang w:val="en-CA"/>
              </w:rPr>
              <w:fldChar w:fldCharType="end"/>
            </w:r>
            <w:r>
              <w:rPr>
                <w:rFonts w:cs="Arial" w:ascii="Arial" w:hAnsi="Arial"/>
                <w:sz w:val="20"/>
                <w:lang w:val="en-CA"/>
              </w:rPr>
            </w:r>
          </w:p>
          <w:p>
            <w:pPr>
              <w:pStyle w:val="Normal"/>
              <w:rPr>
                <w:rFonts w:ascii="Arial" w:hAnsi="Arial" w:cs="Arial"/>
                <w:sz w:val="20"/>
              </w:rPr>
            </w:pPr>
            <w:r>
              <w:rPr>
                <w:rFonts w:cs="Arial" w:ascii="Arial" w:hAnsi="Arial"/>
                <w:sz w:val="20"/>
              </w:rPr>
            </w:r>
          </w:p>
          <w:p>
            <w:pPr>
              <w:pStyle w:val="Normal"/>
              <w:ind w:end="-738"/>
              <w:rPr>
                <w:rFonts w:ascii="Arial" w:hAnsi="Arial" w:cs="Arial"/>
                <w:sz w:val="20"/>
              </w:rPr>
            </w:pPr>
            <w:r>
              <w:rPr>
                <w:rFonts w:cs="Arial" w:ascii="Arial" w:hAnsi="Arial"/>
                <w:sz w:val="20"/>
              </w:rPr>
              <w:t>Expected Closing Date:</w:t>
            </w:r>
          </w:p>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May 30, 2001</w:t>
            </w:r>
            <w:r/>
            <w:r>
              <w:rPr>
                <w:sz w:val="20"/>
                <w:rFonts w:cs="Arial" w:ascii="Arial" w:hAnsi="Arial"/>
                <w:lang w:val="en-CA"/>
              </w:rPr>
              <w:fldChar w:fldCharType="end"/>
            </w:r>
            <w:r>
              <w:rPr>
                <w:rFonts w:cs="Arial" w:ascii="Arial" w:hAnsi="Arial"/>
                <w:sz w:val="20"/>
                <w:lang w:val="en-CA"/>
              </w:rPr>
            </w:r>
          </w:p>
          <w:p>
            <w:pPr>
              <w:pStyle w:val="Normal"/>
              <w:rPr>
                <w:rFonts w:ascii="Arial" w:hAnsi="Arial" w:cs="Arial"/>
                <w:sz w:val="20"/>
              </w:rPr>
            </w:pPr>
            <w:r>
              <w:rPr>
                <w:rFonts w:cs="Arial" w:ascii="Arial" w:hAnsi="Arial"/>
                <w:sz w:val="20"/>
              </w:rPr>
            </w:r>
          </w:p>
          <w:p>
            <w:pPr>
              <w:pStyle w:val="Normal"/>
              <w:ind w:end="-738"/>
              <w:rPr>
                <w:rFonts w:ascii="Arial" w:hAnsi="Arial" w:cs="Arial"/>
                <w:sz w:val="20"/>
              </w:rPr>
            </w:pPr>
            <w:r>
              <w:rPr>
                <w:rFonts w:cs="Arial" w:ascii="Arial" w:hAnsi="Arial"/>
                <w:sz w:val="20"/>
              </w:rPr>
              <w:t>Expected Funding Date:</w:t>
            </w:r>
          </w:p>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NONE</w:t>
            </w:r>
            <w:r/>
            <w:r>
              <w:rPr>
                <w:sz w:val="20"/>
                <w:rFonts w:cs="Arial" w:ascii="Arial" w:hAnsi="Arial"/>
                <w:lang w:val="en-CA"/>
              </w:rPr>
              <w:fldChar w:fldCharType="end"/>
            </w:r>
            <w:r>
              <w:rPr>
                <w:rFonts w:cs="Arial" w:ascii="Arial" w:hAnsi="Arial"/>
                <w:sz w:val="20"/>
                <w:lang w:val="en-CA"/>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fldChar w:fldCharType="begin">
                <w:ffData>
                  <w:name w:val="Check10"/>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10"/>
            <w:bookmarkStart w:id="23" w:name="Check10"/>
            <w:bookmarkEnd w:id="23"/>
            <w:r>
              <w:rPr>
                <w:rFonts w:cs="Arial" w:ascii="Arial" w:hAnsi="Arial"/>
                <w:sz w:val="18"/>
              </w:rPr>
            </w:r>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4"/>
                    <w:listEntry w:val="SELECT BOARD APPROVAL STATUS"/>
                    <w:listEntry w:val="Pending     "/>
                    <w:listEntry w:val="Received     "/>
                    <w:listEntry w:val="Denied     "/>
                    <w:listEntry w:val="N/A          "/>
                  </w:ddList>
                </w:ffData>
              </w:fldChar>
            </w:r>
            <w:r>
              <w:rPr>
                <w:sz w:val="20"/>
                <w:rFonts w:cs="Arial" w:ascii="Arial" w:hAnsi="Arial"/>
              </w:rPr>
              <w:instrText xml:space="preserve"> FORMDROPDOWN </w:instrText>
            </w:r>
            <w:r>
              <w:rPr>
                <w:sz w:val="20"/>
                <w:rFonts w:cs="Arial" w:ascii="Arial" w:hAnsi="Arial"/>
              </w:rPr>
              <w:fldChar w:fldCharType="separate"/>
            </w:r>
            <w:bookmarkStart w:id="24" w:name="Dropdown1"/>
            <w:bookmarkStart w:id="25" w:name="Dropdown1"/>
            <w:bookmarkEnd w:id="25"/>
            <w:r/>
            <w:r>
              <w:rPr>
                <w:sz w:val="20"/>
                <w:rFonts w:cs="Arial" w:ascii="Arial" w:hAnsi="Arial"/>
              </w:rPr>
              <w:fldChar w:fldCharType="end"/>
            </w:r>
            <w:r>
              <w:rPr>
                <w:rFonts w:cs="Arial" w:ascii="Arial" w:hAnsi="Arial"/>
                <w:sz w:val="20"/>
              </w:rPr>
            </w:r>
          </w:p>
        </w:tc>
      </w:tr>
    </w:tbl>
    <w:p>
      <w:pPr>
        <w:sectPr>
          <w:headerReference w:type="default" r:id="rId2"/>
          <w:headerReference w:type="first" r:id="rId3"/>
          <w:footerReference w:type="default" r:id="rId4"/>
          <w:footerReference w:type="first" r:id="rId5"/>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P100 - Net Contingent Capital Commitment</w:t>
            </w:r>
          </w:p>
        </w:tc>
        <w:tc>
          <w:tcPr>
            <w:tcW w:w="1332" w:type="dxa"/>
            <w:tcBorders/>
          </w:tcPr>
          <w:p>
            <w:pPr>
              <w:pStyle w:val="Normal"/>
              <w:ind w:end="-36"/>
              <w:jc w:val="end"/>
              <w:rPr>
                <w:rFonts w:ascii="Arial" w:hAnsi="Arial" w:cs="Arial"/>
                <w:sz w:val="20"/>
              </w:rPr>
            </w:pPr>
            <w:r>
              <w:rPr>
                <w:rFonts w:cs="Arial" w:ascii="Arial" w:hAnsi="Arial"/>
                <w:sz w:val="20"/>
              </w:rPr>
              <w:t>50,000,000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P99 - Notional Maximum Loss</w:t>
            </w:r>
          </w:p>
        </w:tc>
        <w:tc>
          <w:tcPr>
            <w:tcW w:w="1332" w:type="dxa"/>
            <w:tcBorders/>
          </w:tcPr>
          <w:p>
            <w:pPr>
              <w:pStyle w:val="Normal"/>
              <w:ind w:end="-36"/>
              <w:jc w:val="end"/>
              <w:rPr>
                <w:rFonts w:ascii="Arial" w:hAnsi="Arial" w:cs="Arial"/>
                <w:sz w:val="20"/>
              </w:rPr>
            </w:pPr>
            <w:r>
              <w:rPr>
                <w:rFonts w:cs="Arial" w:ascii="Arial" w:hAnsi="Arial"/>
                <w:sz w:val="20"/>
              </w:rPr>
              <w:t>19,200,000</w:t>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t>PORTFOLIO EXPOSURE SUMMARY *</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P100 – Aggregate Portfolio</w:t>
            </w:r>
          </w:p>
        </w:tc>
        <w:tc>
          <w:tcPr>
            <w:tcW w:w="1332" w:type="dxa"/>
            <w:tcBorders/>
          </w:tcPr>
          <w:p>
            <w:pPr>
              <w:pStyle w:val="Normal"/>
              <w:ind w:end="-36"/>
              <w:rPr>
                <w:rFonts w:ascii="Arial" w:hAnsi="Arial" w:cs="Arial"/>
                <w:sz w:val="20"/>
              </w:rPr>
            </w:pPr>
            <w:r>
              <w:rPr>
                <w:rFonts w:cs="Arial" w:ascii="Arial" w:hAnsi="Arial"/>
                <w:sz w:val="20"/>
              </w:rPr>
              <w:t>280,000,000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P99 – Aggregate Portfolio</w:t>
            </w:r>
          </w:p>
        </w:tc>
        <w:tc>
          <w:tcPr>
            <w:tcW w:w="1332" w:type="dxa"/>
            <w:tcBorders/>
          </w:tcPr>
          <w:p>
            <w:pPr>
              <w:pStyle w:val="Normal"/>
              <w:ind w:end="-36"/>
              <w:jc w:val="end"/>
              <w:rPr>
                <w:rFonts w:ascii="Arial" w:hAnsi="Arial" w:cs="Arial"/>
                <w:sz w:val="20"/>
              </w:rPr>
            </w:pPr>
            <w:r>
              <w:rPr>
                <w:rFonts w:cs="Arial" w:ascii="Arial" w:hAnsi="Arial"/>
                <w:sz w:val="20"/>
              </w:rPr>
              <w:t>39,300,000</w:t>
            </w:r>
          </w:p>
        </w:tc>
        <w:tc>
          <w:tcPr>
            <w:tcW w:w="4338" w:type="dxa"/>
            <w:tcBorders/>
          </w:tcPr>
          <w:p>
            <w:pPr>
              <w:pStyle w:val="Normal"/>
              <w:ind w:end="-36"/>
              <w:rPr>
                <w:rFonts w:ascii="Arial" w:hAnsi="Arial" w:cs="Arial"/>
                <w:sz w:val="20"/>
              </w:rPr>
            </w:pPr>
            <w:r>
              <w:rPr>
                <w:rFonts w:cs="Arial" w:ascii="Arial" w:hAnsi="Arial"/>
                <w:sz w:val="20"/>
              </w:rPr>
              <w:t>(ENE BoD Approved Level = $120,000,000)</w:t>
            </w:r>
          </w:p>
        </w:tc>
      </w:tr>
    </w:tbl>
    <w:p>
      <w:pPr>
        <w:pStyle w:val="Normal"/>
        <w:ind w:firstLine="720" w:end="-36"/>
        <w:rPr>
          <w:rFonts w:ascii="Arial" w:hAnsi="Arial" w:cs="Arial"/>
          <w:sz w:val="20"/>
        </w:rPr>
      </w:pPr>
      <w:r>
        <w:rPr>
          <w:rFonts w:cs="Arial" w:ascii="Arial" w:hAnsi="Arial"/>
          <w:sz w:val="16"/>
        </w:rPr>
        <w:t>*Note change in presentation from previous DASHs</w:t>
      </w:r>
    </w:p>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rPr>
          <w:rFonts w:ascii="Arial" w:hAnsi="Arial" w:cs="Arial"/>
          <w:i/>
          <w:i/>
          <w:sz w:val="20"/>
        </w:rPr>
      </w:pPr>
      <w:r>
        <w:rPr>
          <w:rFonts w:cs="Arial" w:ascii="Arial" w:hAnsi="Arial"/>
          <w:i/>
          <w:sz w:val="20"/>
        </w:rPr>
      </w:r>
    </w:p>
    <w:p>
      <w:pPr>
        <w:pStyle w:val="Normal"/>
        <w:ind w:end="-36"/>
        <w:jc w:val="both"/>
        <w:rPr/>
      </w:pPr>
      <w:r>
        <w:rPr>
          <w:rFonts w:cs="Arial" w:ascii="Arial" w:hAnsi="Arial"/>
          <w:sz w:val="20"/>
        </w:rPr>
        <w:t>This Outage Option provides the buyer with protection against the joint event of (1) a derating of any of the covered generating units greater than 50MW (units smaller than 50MW are excluded from deratings) or a forced outage on the covered generating units of greater than 650MW across the system; and (2) a rise in power prices in the buyer’s market above levels fixed against Enron Online power curve for the PJM western hub on the execution date.</w:t>
      </w:r>
      <w:r>
        <w:rPr/>
        <w:t xml:space="preserve"> </w:t>
      </w:r>
      <w:r>
        <w:rPr>
          <w:rFonts w:cs="Arial" w:ascii="Arial" w:hAnsi="Arial"/>
          <w:sz w:val="20"/>
        </w:rPr>
        <w:t xml:space="preserve">De-ratings are reported events resulting from a mechanical failure, such as a tube leak, that results in a reduction of available capacity of the unit.  Previous transactions have not included derate events, but the additional exposure from derate events is minimal relative to full unit outages.  This additional exposure has been analyzed and is accounted for in the pricing and portfolio tracking models.  </w:t>
      </w:r>
    </w:p>
    <w:p>
      <w:pPr>
        <w:pStyle w:val="Normal"/>
        <w:ind w:end="-36"/>
        <w:jc w:val="both"/>
        <w:rPr>
          <w:rFonts w:ascii="Arial" w:hAnsi="Arial" w:cs="Arial"/>
          <w:sz w:val="20"/>
        </w:rPr>
      </w:pPr>
      <w:r>
        <w:rPr>
          <w:rFonts w:cs="Arial" w:ascii="Arial" w:hAnsi="Arial"/>
          <w:sz w:val="20"/>
        </w:rPr>
      </w:r>
    </w:p>
    <w:p>
      <w:pPr>
        <w:pStyle w:val="BodyText2"/>
        <w:rPr>
          <w:rFonts w:ascii="Arial" w:hAnsi="Arial" w:cs="Arial"/>
        </w:rPr>
      </w:pPr>
      <w:r>
        <w:rPr>
          <w:rFonts w:cs="Arial" w:ascii="Arial" w:hAnsi="Arial"/>
        </w:rPr>
        <w:t xml:space="preserve">The buyer of this option is Allegheny Energy Supply Company (“AESC”), the unregulated subsidiary of Allegheny Energy, Inc. (AYE).  AYE is a large regulated electric utility in Western Pennsylvania with a market capitalization of $6.8 billion.  AESC recently purchased Merrill Lynch’s energy trading operations as well as 1,710 MW of natural gas-fired merchant generating capacity in three Midwest states from Enron North America to add to its existing 220 MW of peaking capacity in Pennsylvania.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AESC operates and markets competitive retail and wholesale generation in markets throughout the United States and operates regulated generation for its affiliates. Including the peaking plants, AESC controls or owns more than 14,000 MW of total generating capacity.</w:t>
      </w:r>
    </w:p>
    <w:p>
      <w:pPr>
        <w:pStyle w:val="Normal"/>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This is the second of a combined package deal of two transactions with AESC.  The first was an Outage Option on the peakers sold by Enron to AESC.  This Outage Option will cover the AYE regulated coal system in Western Pennsylvania. A list of units, corresponding fuel, and Net Dependable Capacity amounts is attached. </w:t>
      </w:r>
    </w:p>
    <w:p>
      <w:pPr>
        <w:pStyle w:val="Normal"/>
        <w:rPr>
          <w:rFonts w:ascii="Arial" w:hAnsi="Arial" w:cs="Arial"/>
          <w:sz w:val="20"/>
        </w:rPr>
      </w:pPr>
      <w:r>
        <w:rPr>
          <w:rFonts w:cs="Arial" w:ascii="Arial" w:hAnsi="Arial"/>
          <w:sz w:val="20"/>
        </w:rPr>
      </w:r>
    </w:p>
    <w:p>
      <w:pPr>
        <w:pStyle w:val="Normal"/>
        <w:ind w:end="-36"/>
        <w:jc w:val="both"/>
        <w:rPr>
          <w:rFonts w:ascii="Arial" w:hAnsi="Arial" w:cs="Arial"/>
          <w:sz w:val="20"/>
        </w:rPr>
      </w:pPr>
      <w:r>
        <w:rPr>
          <w:rFonts w:cs="Arial" w:ascii="Arial" w:hAnsi="Arial"/>
          <w:sz w:val="20"/>
        </w:rPr>
        <w:t>Two events must occur to trigger a call on the option.  The first event (the “knock-in event”) is a combined forced-outage of 650MW or greater across the 7464 MW system. The second event is the index price at the PJM West Hub LMP exceeds the applicable forward price for that month as determined in the contract.  Intra-day hour settlement will be calculated based upon an the average daily PJM Western Hub LMP index. This is a financially settled transaction.</w:t>
      </w:r>
    </w:p>
    <w:p>
      <w:pPr>
        <w:pStyle w:val="Normal"/>
        <w:rPr>
          <w:rFonts w:ascii="Arial" w:hAnsi="Arial" w:cs="Arial"/>
          <w:sz w:val="20"/>
        </w:rPr>
      </w:pPr>
      <w:r>
        <w:rPr>
          <w:rFonts w:cs="Arial" w:ascii="Arial" w:hAnsi="Arial"/>
          <w:sz w:val="20"/>
        </w:rPr>
      </w:r>
    </w:p>
    <w:p>
      <w:pPr>
        <w:pStyle w:val="Normal"/>
        <w:ind w:end="-36"/>
        <w:jc w:val="center"/>
        <w:rPr>
          <w:rFonts w:ascii="Arial" w:hAnsi="Arial" w:cs="Arial"/>
          <w:sz w:val="20"/>
          <w:u w:val="single"/>
        </w:rPr>
      </w:pPr>
      <w:r>
        <w:rPr>
          <w:rFonts w:cs="Arial" w:ascii="Arial" w:hAnsi="Arial"/>
          <w:sz w:val="20"/>
          <w:u w:val="single"/>
        </w:rPr>
        <w:t>Current PJM West Hub Forward Prices:</w:t>
      </w:r>
    </w:p>
    <w:p>
      <w:pPr>
        <w:pStyle w:val="Normal"/>
        <w:ind w:end="-36"/>
        <w:jc w:val="center"/>
        <w:rPr>
          <w:rFonts w:ascii="Arial" w:hAnsi="Arial" w:cs="Arial"/>
          <w:sz w:val="20"/>
          <w:u w:val="single"/>
        </w:rPr>
      </w:pPr>
      <w:r>
        <w:rPr>
          <w:rFonts w:cs="Arial" w:ascii="Arial" w:hAnsi="Arial"/>
          <w:sz w:val="20"/>
          <w:u w:val="single"/>
        </w:rPr>
      </w:r>
    </w:p>
    <w:p>
      <w:pPr>
        <w:pStyle w:val="Normal"/>
        <w:ind w:end="-36"/>
        <w:jc w:val="center"/>
        <w:rPr>
          <w:rFonts w:ascii="Arial" w:hAnsi="Arial" w:cs="Arial"/>
          <w:sz w:val="20"/>
        </w:rPr>
      </w:pPr>
      <w:r>
        <w:rPr>
          <w:rFonts w:cs="Arial" w:ascii="Arial" w:hAnsi="Arial"/>
          <w:sz w:val="20"/>
        </w:rPr>
        <w:t>July</w:t>
        <w:tab/>
        <w:tab/>
        <w:t>$  74MWh</w:t>
      </w:r>
    </w:p>
    <w:p>
      <w:pPr>
        <w:pStyle w:val="Normal"/>
        <w:ind w:end="-36"/>
        <w:jc w:val="center"/>
        <w:rPr>
          <w:rFonts w:ascii="Arial" w:hAnsi="Arial" w:cs="Arial"/>
          <w:sz w:val="20"/>
        </w:rPr>
      </w:pPr>
      <w:r>
        <w:rPr>
          <w:rFonts w:cs="Arial" w:ascii="Arial" w:hAnsi="Arial"/>
          <w:sz w:val="20"/>
        </w:rPr>
        <w:t>August</w:t>
        <w:tab/>
        <w:tab/>
        <w:t>$  74MWh</w:t>
      </w:r>
    </w:p>
    <w:p>
      <w:pPr>
        <w:pStyle w:val="Normal"/>
        <w:rPr>
          <w:rFonts w:ascii="Arial" w:hAnsi="Arial" w:cs="Arial"/>
          <w:sz w:val="20"/>
        </w:rPr>
      </w:pPr>
      <w:r>
        <w:rPr/>
        <w:b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6"/>
        <w:ind w:hanging="0" w:start="0"/>
        <w:rPr/>
      </w:pPr>
      <w:r>
        <w:rPr/>
        <w:t>Allegheny “B” Transaction Parameters</w:t>
      </w:r>
    </w:p>
    <w:tbl>
      <w:tblPr>
        <w:tblW w:w="6390" w:type="dxa"/>
        <w:jc w:val="start"/>
        <w:tblInd w:w="1908" w:type="dxa"/>
        <w:tblLayout w:type="fixed"/>
        <w:tblCellMar>
          <w:top w:w="0" w:type="dxa"/>
          <w:start w:w="108" w:type="dxa"/>
          <w:bottom w:w="0" w:type="dxa"/>
          <w:end w:w="108" w:type="dxa"/>
        </w:tblCellMar>
      </w:tblPr>
      <w:tblGrid>
        <w:gridCol w:w="3600"/>
        <w:gridCol w:w="2790"/>
      </w:tblGrid>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Term</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7/1/01-8/31/01</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Strike</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Forwards on EOL on the date of execution of the Confirm.</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Region (Index)</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 xml:space="preserve">PJM Western Hub LMP </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Quantity of Coverage (MW)</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7464 MW less the Capacity Strike</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Payout Limit</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$50 million</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Capacity Strike</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670 MW</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Premium</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$3.5 million</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Participation (Co-insurance)</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0%</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Coverage Limit on Outage Duration</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368 peak hours per outage</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Settlement</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Financial</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P95 Loss</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$9.1 million</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P99 Loss</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$19.2 million</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Expected Loss</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$2.3 million</w:t>
            </w:r>
          </w:p>
        </w:tc>
      </w:tr>
    </w:tbl>
    <w:p>
      <w:pPr>
        <w:pStyle w:val="Normal"/>
        <w:rPr>
          <w:rFonts w:ascii="Arial" w:hAnsi="Arial" w:cs="Arial"/>
          <w:sz w:val="20"/>
        </w:rPr>
      </w:pPr>
      <w:r>
        <w:rPr>
          <w:rFonts w:cs="Arial" w:ascii="Arial" w:hAnsi="Arial"/>
          <w:sz w:val="20"/>
        </w:rPr>
      </w:r>
    </w:p>
    <w:p>
      <w:pPr>
        <w:pStyle w:val="Normal"/>
        <w:pBdr>
          <w:bottom w:val="single" w:sz="8" w:space="1" w:color="000000"/>
        </w:pBdr>
        <w:rPr>
          <w:rFonts w:ascii="Arial" w:hAnsi="Arial" w:cs="Arial"/>
          <w:sz w:val="20"/>
        </w:rPr>
      </w:pPr>
      <w:r>
        <w:rPr>
          <w:rFonts w:cs="Arial" w:ascii="Arial" w:hAnsi="Arial"/>
          <w:sz w:val="20"/>
        </w:rPr>
      </w:r>
    </w:p>
    <w:tbl>
      <w:tblPr>
        <w:tblW w:w="9814" w:type="dxa"/>
        <w:jc w:val="start"/>
        <w:tblInd w:w="108" w:type="dxa"/>
        <w:tblLayout w:type="fixed"/>
        <w:tblCellMar>
          <w:top w:w="0" w:type="dxa"/>
          <w:start w:w="108" w:type="dxa"/>
          <w:bottom w:w="0" w:type="dxa"/>
          <w:end w:w="108" w:type="dxa"/>
        </w:tblCellMar>
      </w:tblPr>
      <w:tblGrid>
        <w:gridCol w:w="5400"/>
        <w:gridCol w:w="4414"/>
      </w:tblGrid>
      <w:tr>
        <w:trPr>
          <w:trHeight w:val="342" w:hRule="atLeast"/>
        </w:trPr>
        <w:tc>
          <w:tcPr>
            <w:tcW w:w="5400" w:type="dxa"/>
            <w:tcBorders/>
          </w:tcPr>
          <w:p>
            <w:pPr>
              <w:pStyle w:val="Normal"/>
              <w:rPr>
                <w:rFonts w:ascii="Arial" w:hAnsi="Arial" w:cs="Arial"/>
                <w:b/>
                <w:sz w:val="20"/>
              </w:rPr>
            </w:pPr>
            <w:r>
              <w:rPr>
                <w:rFonts w:cs="Arial" w:ascii="Arial" w:hAnsi="Arial"/>
                <w:b/>
                <w:sz w:val="20"/>
              </w:rPr>
              <w:t>RETURN SUMMARY</w:t>
            </w:r>
          </w:p>
        </w:tc>
        <w:tc>
          <w:tcPr>
            <w:tcW w:w="4414" w:type="dxa"/>
            <w:tcBorders/>
          </w:tcPr>
          <w:p>
            <w:pPr>
              <w:pStyle w:val="Normal"/>
              <w:snapToGrid w:val="false"/>
              <w:jc w:val="end"/>
              <w:rPr>
                <w:rFonts w:ascii="Arial" w:hAnsi="Arial" w:cs="Arial"/>
                <w:b/>
                <w:sz w:val="20"/>
              </w:rPr>
            </w:pPr>
            <w:r>
              <w:rPr>
                <w:rFonts w:cs="Arial" w:ascii="Arial" w:hAnsi="Arial"/>
                <w:b/>
                <w:sz w:val="20"/>
              </w:rPr>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Premium</w:t>
        <w:tab/>
        <w:tab/>
        <w:t>$   3,500,000</w:t>
      </w:r>
    </w:p>
    <w:p>
      <w:pPr>
        <w:pStyle w:val="Normal"/>
        <w:rPr>
          <w:rFonts w:ascii="Arial" w:hAnsi="Arial" w:cs="Arial"/>
          <w:sz w:val="20"/>
        </w:rPr>
      </w:pPr>
      <w:r>
        <w:rPr>
          <w:rFonts w:cs="Arial" w:ascii="Arial" w:hAnsi="Arial"/>
          <w:sz w:val="20"/>
        </w:rPr>
        <w:t>Expected Loss</w:t>
        <w:tab/>
        <w:tab/>
        <w:t>$  (2,300,000)</w:t>
      </w:r>
    </w:p>
    <w:p>
      <w:pPr>
        <w:pStyle w:val="Header"/>
        <w:widowControl/>
        <w:tabs>
          <w:tab w:val="clear" w:pos="4320"/>
          <w:tab w:val="clear" w:pos="8640"/>
        </w:tabs>
        <w:rPr>
          <w:rFonts w:ascii="Arial" w:hAnsi="Arial" w:cs="Arial"/>
        </w:rPr>
      </w:pPr>
      <w:r>
        <w:rPr>
          <w:rFonts w:cs="Arial" w:ascii="Arial" w:hAnsi="Arial"/>
        </w:rPr>
        <w:t>Gross Profit</w:t>
        <w:tab/>
        <w:tab/>
        <w:t>$   1,200,000</w:t>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t>P95</w:t>
        <w:tab/>
        <w:tab/>
        <w:tab/>
        <w:t>$  (9,100,000)</w:t>
      </w:r>
    </w:p>
    <w:p>
      <w:pPr>
        <w:pStyle w:val="Normal"/>
        <w:rPr>
          <w:rFonts w:ascii="Arial" w:hAnsi="Arial" w:cs="Arial"/>
          <w:sz w:val="20"/>
        </w:rPr>
      </w:pPr>
      <w:r>
        <w:rPr>
          <w:rFonts w:cs="Arial" w:ascii="Arial" w:hAnsi="Arial"/>
          <w:sz w:val="20"/>
        </w:rPr>
        <w:t xml:space="preserve">P99 </w:t>
        <w:tab/>
        <w:tab/>
        <w:tab/>
        <w:t>$(19,200,000)</w:t>
      </w:r>
    </w:p>
    <w:p>
      <w:pPr>
        <w:pStyle w:val="Normal"/>
        <w:rPr>
          <w:rFonts w:ascii="Arial" w:hAnsi="Arial" w:cs="Arial"/>
          <w:sz w:val="20"/>
        </w:rPr>
      </w:pPr>
      <w:r>
        <w:rPr>
          <w:rFonts w:cs="Arial" w:ascii="Arial" w:hAnsi="Arial"/>
          <w:sz w:val="20"/>
        </w:rPr>
      </w:r>
    </w:p>
    <w:p>
      <w:pPr>
        <w:pStyle w:val="Heading1"/>
        <w:pBdr>
          <w:top w:val="single" w:sz="8" w:space="0" w:color="000000"/>
        </w:pBdr>
        <w:ind w:hanging="0" w:start="0" w:end="-36"/>
        <w:rPr/>
      </w:pPr>
      <w:r>
        <w:rPr>
          <w:rFonts w:cs="Arial" w:ascii="Arial" w:hAnsi="Arial"/>
        </w:rPr>
        <w:t>CASH FLOW SUMMARY</w:t>
      </w:r>
      <w:r>
        <w:rPr/>
        <w:t xml:space="preserve"> </w:t>
      </w:r>
    </w:p>
    <w:p>
      <w:pPr>
        <w:pStyle w:val="Header"/>
        <w:widowControl/>
        <w:tabs>
          <w:tab w:val="clear" w:pos="4320"/>
          <w:tab w:val="clear" w:pos="8640"/>
        </w:tabs>
        <w:rPr/>
      </w:pPr>
      <w:r>
        <w:rPr>
          <w:rFonts w:cs="Arial" w:ascii="Arial" w:hAnsi="Arial"/>
        </w:rPr>
        <w:t>Enron will receive a premium of $3,500,000 from Allegheny on 6/01/01</w:t>
      </w:r>
      <w:r>
        <w:rPr/>
        <w:t>.</w:t>
      </w:r>
    </w:p>
    <w:p>
      <w:pPr>
        <w:pStyle w:val="Header"/>
        <w:widowControl/>
        <w:tabs>
          <w:tab w:val="clear" w:pos="4320"/>
          <w:tab w:val="clear" w:pos="8640"/>
        </w:tabs>
        <w:rPr/>
      </w:pPr>
      <w:r>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TRANSACTION UPSIDES/OPTIONALITY</w:t>
      </w:r>
    </w:p>
    <w:p>
      <w:pPr>
        <w:pStyle w:val="Normal"/>
        <w:ind w:end="-36"/>
        <w:rPr>
          <w:rFonts w:ascii="Arial" w:hAnsi="Arial" w:cs="Arial"/>
          <w:sz w:val="20"/>
        </w:rPr>
      </w:pPr>
      <w:r>
        <w:rPr>
          <w:rFonts w:cs="Arial" w:ascii="Arial" w:hAnsi="Arial"/>
          <w:sz w:val="20"/>
        </w:rPr>
        <w:t>This transaction is the seventh in the portfolio. The portfolio will be managed with daily call options to reduce the expected and extreme loss amounts.</w:t>
      </w:r>
    </w:p>
    <w:p>
      <w:pPr>
        <w:pStyle w:val="BodyText"/>
        <w:rPr>
          <w:rFonts w:ascii="Arial" w:hAnsi="Arial" w:cs="Arial"/>
        </w:rPr>
      </w:pPr>
      <w:r>
        <w:rPr>
          <w:rFonts w:cs="Arial" w:ascii="Arial" w:hAnsi="Arial"/>
        </w:rPr>
      </w:r>
    </w:p>
    <w:p>
      <w:pPr>
        <w:pStyle w:val="Normal"/>
        <w:pBdr>
          <w:top w:val="single" w:sz="8" w:space="1" w:color="000000"/>
        </w:pBdr>
        <w:ind w:end="-36"/>
        <w:rPr/>
      </w:pPr>
      <w:r>
        <w:rPr>
          <w:rFonts w:cs="Arial" w:ascii="Arial" w:hAnsi="Arial"/>
          <w:b/>
          <w:sz w:val="20"/>
        </w:rPr>
        <w:t>HEDGING STRATEGY</w:t>
      </w:r>
      <w:r>
        <w:rPr>
          <w:rFonts w:cs="Arial" w:ascii="Arial" w:hAnsi="Arial"/>
          <w:sz w:val="20"/>
        </w:rPr>
        <w:t xml:space="preserve"> </w:t>
      </w:r>
    </w:p>
    <w:p>
      <w:pPr>
        <w:pStyle w:val="Normal"/>
        <w:ind w:end="-36"/>
        <w:rPr>
          <w:rFonts w:ascii="Arial" w:hAnsi="Arial" w:cs="Arial"/>
          <w:sz w:val="20"/>
        </w:rPr>
      </w:pPr>
      <w:r>
        <w:rPr>
          <w:rFonts w:cs="Arial" w:ascii="Arial" w:hAnsi="Arial"/>
          <w:sz w:val="20"/>
        </w:rPr>
        <w:t>The “expected” short position will be hedged, in part, with daily call options at a comparable strike.  Insurance market is not readily accessible at this time to efficiently hedge P99-P100 tail exposure.</w:t>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mc:AlternateContent>
          <mc:Choice Requires="wps">
            <w:drawing>
              <wp:anchor behindDoc="0" distT="0" distB="0" distL="114935" distR="114935" simplePos="0" locked="0" layoutInCell="1" allowOverlap="1" relativeHeight="8">
                <wp:simplePos x="0" y="0"/>
                <wp:positionH relativeFrom="column">
                  <wp:posOffset>2190750</wp:posOffset>
                </wp:positionH>
                <wp:positionV relativeFrom="paragraph">
                  <wp:posOffset>73025</wp:posOffset>
                </wp:positionV>
                <wp:extent cx="4445" cy="1087755"/>
                <wp:effectExtent l="5715" t="5715" r="5080" b="5080"/>
                <wp:wrapNone/>
                <wp:docPr id="1" name=""/>
                <a:graphic xmlns:a="http://schemas.openxmlformats.org/drawingml/2006/main">
                  <a:graphicData uri="http://schemas.microsoft.com/office/word/2010/wordprocessingShape">
                    <wps:wsp>
                      <wps:cNvSpPr/>
                      <wps:spPr>
                        <a:xfrm>
                          <a:off x="0" y="0"/>
                          <a:ext cx="4320" cy="1087920"/>
                        </a:xfrm>
                        <a:custGeom>
                          <a:avLst/>
                          <a:gdLst/>
                          <a:ahLst/>
                          <a:rect l="l" t="t" r="r" b="b"/>
                          <a:pathLst>
                            <a:path w="7" h="1713">
                              <a:moveTo>
                                <a:pt x="0" y="0"/>
                              </a:moveTo>
                              <a:lnTo>
                                <a:pt x="7" y="1713"/>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7,1713" path="m0,0l7,1713e" stroked="t" o:allowincell="f" style="position:absolute;margin-left:172.5pt;margin-top:5.75pt;width:0.3pt;height:85.6pt;mso-wrap-style:none;v-text-anchor:middle">
                <v:fill o:detectmouseclick="t" on="false"/>
                <v:stroke color="black" weight="9360" joinstyle="round" endcap="flat"/>
                <w10:wrap type="none"/>
              </v:shape>
            </w:pict>
          </mc:Fallback>
        </mc:AlternateContent>
      </w:r>
      <w:r>
        <w:rPr>
          <w:rFonts w:cs="Arial" w:ascii="Arial" w:hAnsi="Arial"/>
          <w:sz w:val="20"/>
        </w:rPr>
        <w:tab/>
      </w:r>
    </w:p>
    <w:p>
      <w:pPr>
        <w:pStyle w:val="Normal"/>
        <w:ind w:end="-36"/>
        <w:rPr>
          <w:rFonts w:ascii="Arial" w:hAnsi="Arial" w:cs="Arial"/>
          <w:sz w:val="20"/>
        </w:rPr>
      </w:pPr>
      <w:r>
        <w:rPr>
          <w:rFonts w:cs="Arial" w:ascii="Arial" w:hAnsi="Arial"/>
          <w:sz w:val="20"/>
        </w:rPr>
        <mc:AlternateContent>
          <mc:Choice Requires="wps">
            <w:drawing>
              <wp:anchor behindDoc="0" distT="0" distB="0" distL="114935" distR="114935" simplePos="0" locked="0" layoutInCell="1" allowOverlap="1" relativeHeight="3">
                <wp:simplePos x="0" y="0"/>
                <wp:positionH relativeFrom="column">
                  <wp:posOffset>2926080</wp:posOffset>
                </wp:positionH>
                <wp:positionV relativeFrom="paragraph">
                  <wp:posOffset>8890</wp:posOffset>
                </wp:positionV>
                <wp:extent cx="0" cy="1005840"/>
                <wp:effectExtent l="12700" t="12700" r="12700" b="12700"/>
                <wp:wrapNone/>
                <wp:docPr id="2" name=""/>
                <a:graphic xmlns:a="http://schemas.openxmlformats.org/drawingml/2006/main">
                  <a:graphicData uri="http://schemas.microsoft.com/office/word/2010/wordprocessingShape">
                    <wps:wsp>
                      <wps:cNvSpPr/>
                      <wps:spPr>
                        <a:xfrm>
                          <a:off x="0" y="0"/>
                          <a:ext cx="0" cy="1005840"/>
                        </a:xfrm>
                        <a:prstGeom prst="line">
                          <a:avLst/>
                        </a:prstGeom>
                        <a:ln cap="rnd" w="255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230.4pt,0.7pt" to="230.4pt,79.85pt" stroked="t" o:allowincell="f" style="position:absolute">
                <v:stroke color="black" weight="255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3474720</wp:posOffset>
                </wp:positionH>
                <wp:positionV relativeFrom="paragraph">
                  <wp:posOffset>8890</wp:posOffset>
                </wp:positionV>
                <wp:extent cx="0" cy="1005840"/>
                <wp:effectExtent l="12700" t="12700" r="12700" b="12700"/>
                <wp:wrapNone/>
                <wp:docPr id="3" name=""/>
                <a:graphic xmlns:a="http://schemas.openxmlformats.org/drawingml/2006/main">
                  <a:graphicData uri="http://schemas.microsoft.com/office/word/2010/wordprocessingShape">
                    <wps:wsp>
                      <wps:cNvSpPr/>
                      <wps:spPr>
                        <a:xfrm>
                          <a:off x="0" y="0"/>
                          <a:ext cx="0" cy="1005840"/>
                        </a:xfrm>
                        <a:prstGeom prst="line">
                          <a:avLst/>
                        </a:prstGeom>
                        <a:ln cap="rnd" w="255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273.6pt,0.7pt" to="273.6pt,79.85pt" stroked="t" o:allowincell="f" style="position:absolute">
                <v:stroke color="black" weight="25560" dashstyle="shortdot" joinstyle="miter" endcap="round"/>
                <v:fill o:detectmouseclick="t" on="false"/>
                <w10:wrap type="none"/>
              </v:line>
            </w:pict>
          </mc:Fallback>
        </mc:AlternateContent>
        <mc:AlternateContent>
          <mc:Choice Requires="wps">
            <w:drawing>
              <wp:anchor behindDoc="0" distT="0" distB="0" distL="114300" distR="63500" simplePos="0" locked="0" layoutInCell="1" allowOverlap="1" relativeHeight="9">
                <wp:simplePos x="0" y="0"/>
                <wp:positionH relativeFrom="column">
                  <wp:posOffset>2181225</wp:posOffset>
                </wp:positionH>
                <wp:positionV relativeFrom="paragraph">
                  <wp:posOffset>-8890</wp:posOffset>
                </wp:positionV>
                <wp:extent cx="2299335" cy="986155"/>
                <wp:effectExtent l="15240" t="3810" r="0" b="3810"/>
                <wp:wrapNone/>
                <wp:docPr id="4" name=""/>
                <a:graphic xmlns:a="http://schemas.openxmlformats.org/drawingml/2006/main">
                  <a:graphicData uri="http://schemas.microsoft.com/office/word/2010/wordprocessingShape">
                    <wps:wsp>
                      <wps:cNvSpPr/>
                      <wps:spPr>
                        <a:xfrm>
                          <a:off x="0" y="0"/>
                          <a:ext cx="2299320" cy="986040"/>
                        </a:xfrm>
                        <a:custGeom>
                          <a:avLst/>
                          <a:gdLst/>
                          <a:ahLst/>
                          <a:rect l="l" t="t" r="r" b="b"/>
                          <a:pathLst>
                            <a:path w="3621" h="1553">
                              <a:moveTo>
                                <a:pt x="0" y="19"/>
                              </a:moveTo>
                              <a:cubicBezTo>
                                <a:pt x="59" y="24"/>
                                <a:pt x="168" y="0"/>
                                <a:pt x="338" y="51"/>
                              </a:cubicBezTo>
                              <a:cubicBezTo>
                                <a:pt x="508" y="102"/>
                                <a:pt x="726" y="115"/>
                                <a:pt x="1023" y="324"/>
                              </a:cubicBezTo>
                              <a:cubicBezTo>
                                <a:pt x="1321" y="534"/>
                                <a:pt x="1724" y="1106"/>
                                <a:pt x="2124" y="1306"/>
                              </a:cubicBezTo>
                              <a:cubicBezTo>
                                <a:pt x="2523" y="1505"/>
                                <a:pt x="3220" y="1487"/>
                                <a:pt x="3420" y="1520"/>
                              </a:cubicBezTo>
                              <a:cubicBezTo>
                                <a:pt x="3621" y="1553"/>
                                <a:pt x="3475" y="1529"/>
                                <a:pt x="3330" y="1505"/>
                              </a:cubicBezTo>
                            </a:path>
                          </a:pathLst>
                        </a:custGeom>
                        <a:noFill/>
                        <a:ln w="28440">
                          <a:solidFill>
                            <a:srgbClr val="0033cc"/>
                          </a:solidFill>
                          <a:round/>
                        </a:ln>
                      </wps:spPr>
                      <wps:style>
                        <a:lnRef idx="0"/>
                        <a:fillRef idx="0"/>
                        <a:effectRef idx="0"/>
                        <a:fontRef idx="minor"/>
                      </wps:style>
                      <wps:bodyPr/>
                    </wps:wsp>
                  </a:graphicData>
                </a:graphic>
              </wp:anchor>
            </w:drawing>
          </mc:Choice>
          <mc:Fallback>
            <w:pict>
              <v:shape id="shape_0" coordsize="3621,1553" path="m0,19c59,24,168,0,338,51c508,102,726,115,1023,324c1321,534,1724,1106,2124,1306c2523,1505,3220,1487,3420,1520c3621,1553,3475,1529,3330,1505e" stroked="t" o:allowincell="f" style="position:absolute;margin-left:171.75pt;margin-top:-0.7pt;width:181pt;height:77.6pt;mso-wrap-style:none;v-text-anchor:middle">
                <v:fill o:detectmouseclick="t" on="false"/>
                <v:stroke color="#0033cc" weight="28440" joinstyle="round" endcap="flat"/>
                <w10:wrap type="none"/>
              </v:shape>
            </w:pict>
          </mc:Fallback>
        </mc:AlternateContent>
      </w:r>
    </w:p>
    <w:p>
      <w:pPr>
        <w:pStyle w:val="Normal"/>
        <w:ind w:end="-36"/>
        <w:rPr>
          <w:rFonts w:ascii="Arial" w:hAnsi="Arial" w:cs="Arial"/>
          <w:sz w:val="20"/>
        </w:rPr>
      </w:pPr>
      <w:r>
        <w:rPr>
          <w:rFonts w:eastAsia="Arial" w:cs="Arial" w:ascii="Arial" w:hAnsi="Arial"/>
          <w:sz w:val="20"/>
        </w:rPr>
        <w:t xml:space="preserve">    </w:t>
      </w:r>
      <w:r>
        <w:rPr>
          <w:rFonts w:cs="Arial" w:ascii="Arial" w:hAnsi="Arial"/>
          <w:sz w:val="20"/>
        </w:rPr>
        <w:tab/>
        <w:tab/>
        <w:tab/>
        <w:tab/>
        <w:tab/>
        <w:tab/>
        <w:t xml:space="preserve">      Retained</w:t>
      </w:r>
    </w:p>
    <w:p>
      <w:pPr>
        <w:pStyle w:val="Normal"/>
        <w:ind w:end="-36"/>
        <w:rPr>
          <w:rFonts w:ascii="Arial" w:hAnsi="Arial" w:cs="Arial"/>
          <w:sz w:val="20"/>
        </w:rPr>
      </w:pPr>
      <w:r>
        <w:rPr>
          <w:rFonts w:eastAsia="Arial" w:cs="Arial" w:ascii="Arial" w:hAnsi="Arial"/>
          <w:sz w:val="20"/>
        </w:rPr>
        <w:t xml:space="preserve">            </w:t>
      </w:r>
      <w:r>
        <w:rPr>
          <w:rFonts w:cs="Arial" w:ascii="Arial" w:hAnsi="Arial"/>
          <w:sz w:val="20"/>
        </w:rPr>
        <w:tab/>
        <w:tab/>
        <w:tab/>
        <w:tab/>
        <w:tab/>
        <w:tab/>
        <w:t xml:space="preserve">          Risk</w:t>
      </w:r>
    </w:p>
    <w:p>
      <w:pPr>
        <w:pStyle w:val="Normal"/>
        <w:ind w:end="-36"/>
        <w:rPr>
          <w:rFonts w:ascii="Arial" w:hAnsi="Arial" w:cs="Arial"/>
          <w:sz w:val="20"/>
        </w:rPr>
      </w:pPr>
      <w:r>
        <w:rPr>
          <w:rFonts w:cs="Arial" w:ascii="Arial" w:hAnsi="Arial"/>
          <w:sz w:val="20"/>
        </w:rPr>
      </w:r>
    </w:p>
    <w:p>
      <w:pPr>
        <w:pStyle w:val="Normal"/>
        <w:ind w:firstLine="720" w:start="2880" w:end="-36"/>
        <w:rPr>
          <w:rFonts w:ascii="Arial" w:hAnsi="Arial" w:cs="Arial"/>
          <w:sz w:val="20"/>
        </w:rPr>
      </w:pPr>
      <w:r>
        <w:rPr>
          <w:rFonts w:cs="Arial" w:ascii="Arial" w:hAnsi="Arial"/>
          <w:sz w:val="20"/>
        </w:rPr>
        <w:t>Derivatives</w:t>
        <w:tab/>
        <w:tab/>
        <w:t>Reinsurance</w:t>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mc:AlternateContent>
          <mc:Choice Requires="wps">
            <w:drawing>
              <wp:anchor behindDoc="0" distT="0" distB="0" distL="114935" distR="114935" simplePos="0" locked="0" layoutInCell="1" allowOverlap="1" relativeHeight="2">
                <wp:simplePos x="0" y="0"/>
                <wp:positionH relativeFrom="column">
                  <wp:posOffset>2194560</wp:posOffset>
                </wp:positionH>
                <wp:positionV relativeFrom="paragraph">
                  <wp:posOffset>139065</wp:posOffset>
                </wp:positionV>
                <wp:extent cx="2194560" cy="0"/>
                <wp:effectExtent l="0" t="5080" r="0" b="5080"/>
                <wp:wrapNone/>
                <wp:docPr id="5" name=""/>
                <a:graphic xmlns:a="http://schemas.openxmlformats.org/drawingml/2006/main">
                  <a:graphicData uri="http://schemas.microsoft.com/office/word/2010/wordprocessingShape">
                    <wps:wsp>
                      <wps:cNvSpPr/>
                      <wps:spPr>
                        <a:xfrm>
                          <a:off x="0" y="0"/>
                          <a:ext cx="2194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2.8pt,10.95pt" to="345.55pt,10.95pt" stroked="t" o:allowincell="f" style="position:absolute">
                <v:stroke color="black" weight="9360" joinstyle="miter" endcap="flat"/>
                <v:fill o:detectmouseclick="t" on="false"/>
                <w10:wrap type="none"/>
              </v:line>
            </w:pict>
          </mc:Fallback>
        </mc:AlternateContent>
      </w:r>
    </w:p>
    <w:p>
      <w:pPr>
        <w:pStyle w:val="Normal"/>
        <w:ind w:end="-36"/>
        <w:rPr>
          <w:rFonts w:ascii="Arial" w:hAnsi="Arial" w:cs="Arial"/>
          <w:sz w:val="20"/>
        </w:rPr>
      </w:pPr>
      <w:r>
        <w:rPr>
          <w:rFonts w:cs="Arial" w:ascii="Arial" w:hAnsi="Arial"/>
          <w:sz w:val="20"/>
        </w:rPr>
        <mc:AlternateContent>
          <mc:Choice Requires="wps">
            <w:drawing>
              <wp:anchor behindDoc="0" distT="0" distB="0" distL="114935" distR="114935" simplePos="0" locked="0" layoutInCell="1" allowOverlap="1" relativeHeight="5">
                <wp:simplePos x="0" y="0"/>
                <wp:positionH relativeFrom="column">
                  <wp:posOffset>2468880</wp:posOffset>
                </wp:positionH>
                <wp:positionV relativeFrom="paragraph">
                  <wp:posOffset>-189230</wp:posOffset>
                </wp:positionV>
                <wp:extent cx="182880" cy="731520"/>
                <wp:effectExtent l="5715" t="0" r="5080" b="1270"/>
                <wp:wrapNone/>
                <wp:docPr id="6" name=""/>
                <a:graphic xmlns:a="http://schemas.openxmlformats.org/drawingml/2006/main">
                  <a:graphicData uri="http://schemas.microsoft.com/office/word/2010/wordprocessingShape">
                    <wps:wsp>
                      <wps:cNvSpPr/>
                      <wps:spPr>
                        <a:xfrm rot="5400000">
                          <a:off x="0" y="0"/>
                          <a:ext cx="182880" cy="731520"/>
                        </a:xfrm>
                        <a:custGeom>
                          <a:avLst/>
                          <a:gdLst>
                            <a:gd name="textAreaLeft" fmla="*/ 0 w 103680"/>
                            <a:gd name="textAreaRight" fmla="*/ 37440 w 103680"/>
                            <a:gd name="textAreaTop" fmla="*/ 10800 h 414720"/>
                            <a:gd name="textAreaBottom" fmla="*/ 403920 h 4147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194.4pt;margin-top:-14.95pt;width:14.35pt;height:57.55pt;mso-wrap-style:none;v-text-anchor:middle;rotation:90" type="_x0000_t88">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6">
                <wp:simplePos x="0" y="0"/>
                <wp:positionH relativeFrom="column">
                  <wp:posOffset>3108960</wp:posOffset>
                </wp:positionH>
                <wp:positionV relativeFrom="paragraph">
                  <wp:posOffset>-97790</wp:posOffset>
                </wp:positionV>
                <wp:extent cx="182880" cy="548640"/>
                <wp:effectExtent l="5715" t="0" r="5080" b="635"/>
                <wp:wrapNone/>
                <wp:docPr id="7" name=""/>
                <a:graphic xmlns:a="http://schemas.openxmlformats.org/drawingml/2006/main">
                  <a:graphicData uri="http://schemas.microsoft.com/office/word/2010/wordprocessingShape">
                    <wps:wsp>
                      <wps:cNvSpPr/>
                      <wps:spPr>
                        <a:xfrm rot="5400000">
                          <a:off x="0" y="0"/>
                          <a:ext cx="182880" cy="548640"/>
                        </a:xfrm>
                        <a:custGeom>
                          <a:avLst/>
                          <a:gdLst>
                            <a:gd name="textAreaLeft" fmla="*/ 0 w 103680"/>
                            <a:gd name="textAreaRight" fmla="*/ 37440 w 103680"/>
                            <a:gd name="textAreaTop" fmla="*/ 7920 h 311040"/>
                            <a:gd name="textAreaBottom" fmla="*/ 303120 h 31104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44.8pt;margin-top:-7.75pt;width:14.35pt;height:43.15pt;mso-wrap-style:none;v-text-anchor:middle;rotation:90" type="_x0000_t88">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7">
                <wp:simplePos x="0" y="0"/>
                <wp:positionH relativeFrom="column">
                  <wp:posOffset>3886200</wp:posOffset>
                </wp:positionH>
                <wp:positionV relativeFrom="paragraph">
                  <wp:posOffset>-326390</wp:posOffset>
                </wp:positionV>
                <wp:extent cx="182880" cy="1005840"/>
                <wp:effectExtent l="5715" t="0" r="5080" b="635"/>
                <wp:wrapNone/>
                <wp:docPr id="8" name=""/>
                <a:graphic xmlns:a="http://schemas.openxmlformats.org/drawingml/2006/main">
                  <a:graphicData uri="http://schemas.microsoft.com/office/word/2010/wordprocessingShape">
                    <wps:wsp>
                      <wps:cNvSpPr/>
                      <wps:spPr>
                        <a:xfrm rot="5400000">
                          <a:off x="0" y="0"/>
                          <a:ext cx="182880" cy="1005840"/>
                        </a:xfrm>
                        <a:custGeom>
                          <a:avLst/>
                          <a:gdLst>
                            <a:gd name="textAreaLeft" fmla="*/ 0 w 103680"/>
                            <a:gd name="textAreaRight" fmla="*/ 37440 w 103680"/>
                            <a:gd name="textAreaTop" fmla="*/ 14760 h 570240"/>
                            <a:gd name="textAreaBottom" fmla="*/ 555480 h 57024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06pt;margin-top:-25.75pt;width:14.35pt;height:79.15pt;mso-wrap-style:none;v-text-anchor:middle;rotation:90" type="_x0000_t88">
                <v:fill o:detectmouseclick="t" on="false"/>
                <v:stroke color="black" weight="9360" joinstyle="miter" endcap="flat"/>
                <w10:wrap type="none"/>
              </v:shape>
            </w:pict>
          </mc:Fallback>
        </mc:AlternateContent>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tab/>
        <w:tab/>
        <w:tab/>
        <w:tab/>
        <w:tab/>
        <w:t xml:space="preserve">    Reduces     ENA</w:t>
        <w:tab/>
        <w:t>Reduces P99</w:t>
      </w:r>
    </w:p>
    <w:p>
      <w:pPr>
        <w:pStyle w:val="Normal"/>
        <w:ind w:firstLine="720" w:start="2880" w:end="-36"/>
        <w:rPr>
          <w:rFonts w:ascii="Arial" w:hAnsi="Arial" w:cs="Arial"/>
          <w:sz w:val="20"/>
        </w:rPr>
      </w:pPr>
      <w:r>
        <w:rPr>
          <w:rFonts w:cs="Arial" w:ascii="Arial" w:hAnsi="Arial"/>
          <w:sz w:val="20"/>
        </w:rPr>
        <w:t>Expected Loss</w:t>
        <w:tab/>
        <w:tab/>
        <w:t xml:space="preserve">        Loss</w:t>
      </w:r>
    </w:p>
    <w:p>
      <w:pPr>
        <w:pStyle w:val="Normal"/>
        <w:ind w:end="-36"/>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 xml:space="preserve">RISK MATRIX </w:t>
      </w:r>
    </w:p>
    <w:p>
      <w:pPr>
        <w:pStyle w:val="Header"/>
        <w:widowControl/>
        <w:tabs>
          <w:tab w:val="clear" w:pos="4320"/>
          <w:tab w:val="clear" w:pos="8640"/>
        </w:tabs>
        <w:rPr>
          <w:rFonts w:ascii="Arial" w:hAnsi="Arial" w:cs="Arial"/>
          <w:b/>
          <w:i/>
          <w:i/>
        </w:rPr>
      </w:pPr>
      <w:r>
        <w:rPr>
          <w:rFonts w:cs="Arial" w:ascii="Arial" w:hAnsi="Arial"/>
          <w:b/>
          <w:i/>
        </w:rPr>
      </w:r>
    </w:p>
    <w:tbl>
      <w:tblPr>
        <w:tblW w:w="9990" w:type="dxa"/>
        <w:jc w:val="start"/>
        <w:tblInd w:w="378" w:type="dxa"/>
        <w:tblLayout w:type="fixed"/>
        <w:tblCellMar>
          <w:top w:w="0" w:type="dxa"/>
          <w:start w:w="108" w:type="dxa"/>
          <w:bottom w:w="0" w:type="dxa"/>
          <w:end w:w="108" w:type="dxa"/>
        </w:tblCellMar>
      </w:tblPr>
      <w:tblGrid>
        <w:gridCol w:w="3690"/>
        <w:gridCol w:w="6300"/>
      </w:tblGrid>
      <w:tr>
        <w:trPr/>
        <w:tc>
          <w:tcPr>
            <w:tcW w:w="369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630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Risk Retention</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Under hedging “Plan B”, daily call options will be purchased to reduce expected and potential extreme losses.  The original “Plan A” to cover extreme P99 exposure in the reinsurance markets cannot be executed at this time due to timing and market conditions.  The potential profitability of the transaction and the amount of risk retained by GRM remains uncertain until an appropriate hedging program is placed.</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Operator Risk</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pPr>
            <w:r>
              <w:rPr>
                <w:rFonts w:cs="Arial" w:ascii="Arial" w:hAnsi="Arial"/>
                <w:sz w:val="20"/>
              </w:rPr>
              <w:t>GRM has reviewed and analyzed reported operating data for the units indicating reliable service since commencing operation in 1999. These units were previously owned and operated by Enron and sold to Allegheny in the 4</w:t>
            </w:r>
            <w:r>
              <w:rPr>
                <w:rFonts w:cs="Arial" w:ascii="Arial" w:hAnsi="Arial"/>
                <w:sz w:val="20"/>
                <w:vertAlign w:val="superscript"/>
              </w:rPr>
              <w:t>th</w:t>
            </w:r>
            <w:r>
              <w:rPr>
                <w:rFonts w:cs="Arial" w:ascii="Arial" w:hAnsi="Arial"/>
                <w:sz w:val="20"/>
              </w:rPr>
              <w:t xml:space="preserve"> quarter 2000.</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spacing w:lineRule="atLeast" w:line="240"/>
              <w:rPr>
                <w:rFonts w:ascii="Arial" w:hAnsi="Arial" w:cs="Arial"/>
                <w:sz w:val="20"/>
              </w:rPr>
            </w:pPr>
            <w:r>
              <w:rPr>
                <w:rFonts w:cs="Arial" w:ascii="Arial" w:hAnsi="Arial"/>
                <w:sz w:val="20"/>
              </w:rPr>
              <w:t>Option Liquidity</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Enron is a market maker in power options and is in a position to manage an entire portfolio. Generally, however, liquidity in power options is not good due to the lack of common pooling points.</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Reinsurance Liquidity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Credit Risk </w:t>
            </w:r>
          </w:p>
          <w:p>
            <w:pPr>
              <w:pStyle w:val="Normal"/>
              <w:rPr>
                <w:rFonts w:ascii="Arial" w:hAnsi="Arial" w:cs="Arial"/>
                <w:sz w:val="20"/>
              </w:rPr>
            </w:pPr>
            <w:r>
              <w:rPr>
                <w:rFonts w:cs="Arial" w:ascii="Arial" w:hAnsi="Arial"/>
                <w:sz w:val="20"/>
              </w:rPr>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 xml:space="preserve">There is some demand in the reinsurance market for knock-in options on a portfolio basis. Recent discussions with insurers familiar with the risk have shown interest in underwriting cover for this product, but the timing is not good given volatility in the western markets and .  A condition for RAC recommendation is completion of risk syndication of the P99 to P100 exposure by May 31, 2001.  This condition has been failed and options will be purchased to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Since premiums are paid prior to commencement of coverage, there is no significant credit risk.</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Transaction Risks</w:t>
            </w:r>
          </w:p>
          <w:p>
            <w:pPr>
              <w:pStyle w:val="Normal"/>
              <w:numPr>
                <w:ilvl w:val="0"/>
                <w:numId w:val="4"/>
              </w:numPr>
              <w:rPr>
                <w:rFonts w:ascii="Arial" w:hAnsi="Arial" w:cs="Arial"/>
                <w:sz w:val="20"/>
              </w:rPr>
            </w:pPr>
            <w:r>
              <w:rPr>
                <w:rFonts w:cs="Arial" w:ascii="Arial" w:hAnsi="Arial"/>
                <w:sz w:val="20"/>
              </w:rPr>
              <w:t>Transmission</w:t>
            </w:r>
          </w:p>
          <w:p>
            <w:pPr>
              <w:pStyle w:val="Normal"/>
              <w:numPr>
                <w:ilvl w:val="0"/>
                <w:numId w:val="4"/>
              </w:numPr>
              <w:rPr>
                <w:rFonts w:ascii="Arial" w:hAnsi="Arial" w:cs="Arial"/>
                <w:sz w:val="20"/>
              </w:rPr>
            </w:pPr>
            <w:r>
              <w:rPr>
                <w:rFonts w:cs="Arial" w:ascii="Arial" w:hAnsi="Arial"/>
                <w:sz w:val="20"/>
              </w:rPr>
              <w:t>Dispatch</w:t>
            </w:r>
          </w:p>
          <w:p>
            <w:pPr>
              <w:pStyle w:val="Normal"/>
              <w:numPr>
                <w:ilvl w:val="0"/>
                <w:numId w:val="4"/>
              </w:numPr>
              <w:rPr>
                <w:rFonts w:ascii="Arial" w:hAnsi="Arial" w:cs="Arial"/>
                <w:sz w:val="20"/>
              </w:rPr>
            </w:pPr>
            <w:r>
              <w:rPr>
                <w:rFonts w:cs="Arial" w:ascii="Arial" w:hAnsi="Arial"/>
                <w:sz w:val="20"/>
              </w:rPr>
              <w:t>Environmental/Regulatory</w:t>
            </w:r>
          </w:p>
          <w:p>
            <w:pPr>
              <w:pStyle w:val="Normal"/>
              <w:numPr>
                <w:ilvl w:val="0"/>
                <w:numId w:val="4"/>
              </w:numPr>
              <w:rPr>
                <w:rFonts w:ascii="Arial" w:hAnsi="Arial" w:cs="Arial"/>
                <w:sz w:val="20"/>
              </w:rPr>
            </w:pPr>
            <w:r>
              <w:rPr>
                <w:rFonts w:cs="Arial" w:ascii="Arial" w:hAnsi="Arial"/>
                <w:sz w:val="20"/>
              </w:rPr>
              <w:t>Planned Outages</w:t>
            </w:r>
          </w:p>
        </w:tc>
        <w:tc>
          <w:tcPr>
            <w:tcW w:w="630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Excluded from coverage in this product.</w:t>
            </w:r>
          </w:p>
          <w:p>
            <w:pPr>
              <w:pStyle w:val="Normal"/>
              <w:jc w:val="both"/>
              <w:rPr>
                <w:rFonts w:ascii="Arial" w:hAnsi="Arial" w:cs="Arial"/>
                <w:sz w:val="20"/>
              </w:rPr>
            </w:pPr>
            <w:r>
              <w:rPr>
                <w:rFonts w:cs="Arial" w:ascii="Arial" w:hAnsi="Arial"/>
                <w:sz w:val="20"/>
              </w:rPr>
              <w:t>Excluded from coverage in this product.</w:t>
            </w:r>
          </w:p>
          <w:p>
            <w:pPr>
              <w:pStyle w:val="Normal"/>
              <w:jc w:val="both"/>
              <w:rPr>
                <w:rFonts w:ascii="Arial" w:hAnsi="Arial" w:cs="Arial"/>
                <w:sz w:val="20"/>
              </w:rPr>
            </w:pPr>
            <w:r>
              <w:rPr>
                <w:rFonts w:cs="Arial" w:ascii="Arial" w:hAnsi="Arial"/>
                <w:sz w:val="20"/>
              </w:rPr>
              <w:t>Excluded from coverage in this product.</w:t>
            </w:r>
          </w:p>
          <w:p>
            <w:pPr>
              <w:pStyle w:val="Normal"/>
              <w:jc w:val="both"/>
              <w:rPr>
                <w:rFonts w:ascii="Arial" w:hAnsi="Arial" w:cs="Arial"/>
                <w:sz w:val="20"/>
              </w:rPr>
            </w:pPr>
            <w:r>
              <w:rPr>
                <w:rFonts w:cs="Arial" w:ascii="Arial" w:hAnsi="Arial"/>
                <w:sz w:val="20"/>
              </w:rPr>
              <w:t>Excluded from coverage in this product.</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Moral Hazard</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pPr>
            <w:r>
              <w:rPr>
                <w:rFonts w:cs="Arial" w:ascii="Arial" w:hAnsi="Arial"/>
                <w:sz w:val="20"/>
              </w:rPr>
              <w:t xml:space="preserve">This transaction incorporates a 50MW de-rate strike and a 650MW capacity strike.  Payout is capped at $50 million, with limits on duration of 368 on peak hours per outage.  Purchaser is a merchant energy marketer—moral hazard risk would be further mitigated </w:t>
            </w:r>
            <w:r>
              <w:rPr>
                <w:rFonts w:cs="Arial" w:ascii="Arial" w:hAnsi="Arial"/>
                <w:b/>
                <w:sz w:val="20"/>
              </w:rPr>
              <w:t xml:space="preserve">if </w:t>
            </w:r>
            <w:r>
              <w:rPr>
                <w:rFonts w:cs="Arial" w:ascii="Arial" w:hAnsi="Arial"/>
                <w:sz w:val="20"/>
              </w:rPr>
              <w:t>purchaser were a traditional utility, given a utility’s “obligation to serve”.</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Modeling and Simulation Methodology</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Modeled by research using techniques consistent with ENE modeling of power risk elsewhere in the firm.</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Legal Risk</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This transaction should not be viewed as an insurance product because the payout is not tied to an indemnity of an actual loss, however, there is some minor risk that an insurance regulator/department could conclude that the arrangement operates functionally as insurance and that the option constitutes an insurance contract.  If the transaction were structured where EGM/ENA would pay the premium, the legal risks would be greater. The legal risks are minimal where EGM/ENA receives the premium.</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Governing Law</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New York</w:t>
            </w:r>
          </w:p>
        </w:tc>
      </w:tr>
    </w:tbl>
    <w:p>
      <w:pPr>
        <w:pStyle w:val="Header"/>
        <w:widowControl/>
        <w:tabs>
          <w:tab w:val="clear" w:pos="4320"/>
          <w:tab w:val="clear" w:pos="8640"/>
        </w:tabs>
        <w:rPr>
          <w:rFonts w:ascii="Arial" w:hAnsi="Arial" w:cs="Arial"/>
        </w:rPr>
      </w:pPr>
      <w:r>
        <w:rPr>
          <w:rFonts w:cs="Arial" w:ascii="Arial" w:hAnsi="Arial"/>
        </w:rPr>
      </w:r>
    </w:p>
    <w:p>
      <w:pPr>
        <w:pStyle w:val="Heading1"/>
        <w:pBdr>
          <w:top w:val="single" w:sz="8" w:space="1" w:color="000000"/>
        </w:pBdr>
        <w:ind w:hanging="0" w:start="0"/>
        <w:rPr>
          <w:rFonts w:ascii="Arial" w:hAnsi="Arial" w:cs="Arial"/>
          <w:b w:val="false"/>
        </w:rPr>
      </w:pPr>
      <w:r>
        <w:rPr>
          <w:rFonts w:cs="Arial" w:ascii="Arial" w:hAnsi="Arial"/>
        </w:rPr>
        <w:t xml:space="preserve">KEY SUCCESS FACTORS </w:t>
      </w:r>
    </w:p>
    <w:p>
      <w:pPr>
        <w:pStyle w:val="Normal"/>
        <w:rPr>
          <w:rFonts w:ascii="Arial" w:hAnsi="Arial" w:cs="Arial"/>
          <w:b/>
          <w:sz w:val="20"/>
        </w:rPr>
      </w:pPr>
      <w:r>
        <w:rPr>
          <w:rFonts w:cs="Arial" w:ascii="Arial" w:hAnsi="Arial"/>
          <w:b/>
          <w:sz w:val="20"/>
        </w:rPr>
      </w:r>
    </w:p>
    <w:tbl>
      <w:tblPr>
        <w:tblW w:w="9990" w:type="dxa"/>
        <w:jc w:val="start"/>
        <w:tblInd w:w="378" w:type="dxa"/>
        <w:tblLayout w:type="fixed"/>
        <w:tblCellMar>
          <w:top w:w="0" w:type="dxa"/>
          <w:start w:w="108" w:type="dxa"/>
          <w:bottom w:w="0" w:type="dxa"/>
          <w:end w:w="108" w:type="dxa"/>
        </w:tblCellMar>
      </w:tblPr>
      <w:tblGrid>
        <w:gridCol w:w="4050"/>
        <w:gridCol w:w="720"/>
        <w:gridCol w:w="2700"/>
        <w:gridCol w:w="2520"/>
      </w:tblGrid>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2700" w:type="dxa"/>
            <w:tcBorders>
              <w:top w:val="single" w:sz="4" w:space="0" w:color="000000"/>
              <w:start w:val="single" w:sz="4" w:space="0" w:color="000000"/>
              <w:bottom w:val="single" w:sz="4" w:space="0" w:color="000000"/>
            </w:tcBorders>
          </w:tcPr>
          <w:p>
            <w:pPr>
              <w:pStyle w:val="Heading1"/>
              <w:ind w:hanging="0" w:start="0"/>
              <w:rPr>
                <w:rFonts w:ascii="Arial" w:hAnsi="Arial" w:cs="Arial"/>
              </w:rPr>
            </w:pPr>
            <w:r>
              <w:rPr>
                <w:rFonts w:cs="Arial" w:ascii="Arial" w:hAnsi="Arial"/>
              </w:rPr>
              <w:t>Poor</w:t>
            </w:r>
          </w:p>
        </w:tc>
        <w:tc>
          <w:tcPr>
            <w:tcW w:w="2520" w:type="dxa"/>
            <w:tcBorders>
              <w:top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Excellent</w:t>
            </w:r>
          </w:p>
        </w:tc>
      </w:tr>
      <w:tr>
        <w:trPr/>
        <w:tc>
          <w:tcPr>
            <w:tcW w:w="40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start"/>
              <w:rPr>
                <w:rFonts w:ascii="Arial" w:hAnsi="Arial" w:cs="Arial"/>
              </w:rPr>
            </w:pPr>
            <w:r>
              <w:rPr>
                <w:rFonts w:eastAsia="Arial" w:cs="Arial" w:ascii="Arial" w:hAnsi="Arial"/>
              </w:rPr>
              <w:t xml:space="preserve">                                                                                 </w:t>
            </w:r>
            <w:r>
              <w:rPr>
                <w:rFonts w:cs="Arial" w:ascii="Arial" w:hAnsi="Arial"/>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Strategic Fit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center"/>
              <w:rPr>
                <w:rFonts w:ascii="Arial" w:hAnsi="Arial" w:cs="Arial"/>
              </w:rPr>
            </w:pPr>
            <w:r>
              <w:rPr>
                <w:rFonts w:eastAsia="Arial" w:cs="Arial" w:ascii="Arial" w:hAnsi="Arial"/>
              </w:rPr>
              <w:t xml:space="preserve">                                                                          </w:t>
            </w:r>
            <w:r>
              <w:rPr>
                <w:rFonts w:cs="Arial" w:ascii="Arial" w:hAnsi="Arial"/>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Upside Potential</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 xml:space="preserve">X </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Management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X</w:t>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Risk Mitigation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eastAsia="Arial" w:cs="Arial" w:ascii="Arial" w:hAnsi="Arial"/>
                <w:b/>
                <w:sz w:val="20"/>
              </w:rPr>
              <w:t xml:space="preserve">              </w:t>
            </w:r>
            <w:r>
              <w:rPr>
                <w:rFonts w:cs="Arial" w:ascii="Arial" w:hAnsi="Arial"/>
                <w:b/>
                <w:sz w:val="20"/>
              </w:rPr>
              <w:t>X</w:t>
            </w:r>
          </w:p>
        </w:tc>
      </w:tr>
    </w:tbl>
    <w:p>
      <w:pPr>
        <w:pStyle w:val="Normal"/>
        <w:rPr>
          <w:rFonts w:ascii="Arial" w:hAnsi="Arial" w:cs="Arial"/>
          <w:sz w:val="20"/>
        </w:rPr>
      </w:pPr>
      <w:r>
        <w:rPr>
          <w:rFonts w:cs="Arial" w:ascii="Arial" w:hAnsi="Arial"/>
          <w:sz w:val="20"/>
        </w:rPr>
      </w:r>
    </w:p>
    <w:p>
      <w:pPr>
        <w:pStyle w:val="Header"/>
        <w:widowControl/>
        <w:numPr>
          <w:ilvl w:val="0"/>
          <w:numId w:val="2"/>
        </w:numPr>
        <w:tabs>
          <w:tab w:val="clear" w:pos="4320"/>
          <w:tab w:val="clear" w:pos="8640"/>
        </w:tabs>
        <w:rPr>
          <w:rFonts w:ascii="Arial" w:hAnsi="Arial" w:cs="Arial"/>
        </w:rPr>
      </w:pPr>
      <w:r>
        <w:rPr>
          <w:rFonts w:cs="Arial" w:ascii="Arial" w:hAnsi="Arial"/>
        </w:rPr>
        <w:t>Core Business – The product leverages Enron’s knowledge of power markets and risk structuring</w:t>
      </w:r>
    </w:p>
    <w:p>
      <w:pPr>
        <w:pStyle w:val="Header"/>
        <w:widowControl/>
        <w:numPr>
          <w:ilvl w:val="0"/>
          <w:numId w:val="2"/>
        </w:numPr>
        <w:tabs>
          <w:tab w:val="clear" w:pos="4320"/>
          <w:tab w:val="clear" w:pos="8640"/>
        </w:tabs>
        <w:rPr>
          <w:rFonts w:ascii="Arial" w:hAnsi="Arial" w:cs="Arial"/>
        </w:rPr>
      </w:pPr>
      <w:r>
        <w:rPr>
          <w:rFonts w:cs="Arial" w:ascii="Arial" w:hAnsi="Arial"/>
        </w:rPr>
        <w:t>Strategic Fit – The product is aligned with Global Risk Markets’ strategy of creating superior risk management tools.  The insurance market is more efficient than the derivatives market at clearing certain risks as is the case with power price/outage risk.</w:t>
      </w:r>
    </w:p>
    <w:p>
      <w:pPr>
        <w:pStyle w:val="Header"/>
        <w:widowControl/>
        <w:numPr>
          <w:ilvl w:val="0"/>
          <w:numId w:val="2"/>
        </w:numPr>
        <w:tabs>
          <w:tab w:val="clear" w:pos="4320"/>
          <w:tab w:val="clear" w:pos="8640"/>
        </w:tabs>
        <w:rPr>
          <w:rFonts w:ascii="Arial" w:hAnsi="Arial" w:cs="Arial"/>
        </w:rPr>
      </w:pPr>
      <w:r>
        <w:rPr>
          <w:rFonts w:cs="Arial" w:ascii="Arial" w:hAnsi="Arial"/>
        </w:rPr>
        <w:t>Upside Potential – Multi-trigger products can be offered to other types of customers (IOU’s, industrials, power marketers), in other coverage areas, and applied to other commodities.  On a transaction-by-transaction basis, the upside is fixed by the premium.</w:t>
      </w:r>
    </w:p>
    <w:p>
      <w:pPr>
        <w:pStyle w:val="Header"/>
        <w:widowControl/>
        <w:numPr>
          <w:ilvl w:val="0"/>
          <w:numId w:val="2"/>
        </w:numPr>
        <w:tabs>
          <w:tab w:val="clear" w:pos="4320"/>
          <w:tab w:val="clear" w:pos="8640"/>
        </w:tabs>
        <w:rPr>
          <w:rFonts w:ascii="Arial" w:hAnsi="Arial" w:cs="Arial"/>
        </w:rPr>
      </w:pPr>
      <w:r>
        <w:rPr>
          <w:rFonts w:cs="Arial" w:ascii="Arial" w:hAnsi="Arial"/>
        </w:rPr>
        <w:t>Management – The product will be managed and syndicated by GRM. GRM has created a book and a feed to the Daily Position Report (“DPR”) to manage these positions and intends to work with the power desk to hedge its expected losses.</w:t>
      </w:r>
    </w:p>
    <w:p>
      <w:pPr>
        <w:pStyle w:val="Header"/>
        <w:widowControl/>
        <w:numPr>
          <w:ilvl w:val="0"/>
          <w:numId w:val="3"/>
        </w:numPr>
        <w:tabs>
          <w:tab w:val="clear" w:pos="4320"/>
          <w:tab w:val="clear" w:pos="8640"/>
        </w:tabs>
        <w:rPr>
          <w:rFonts w:ascii="Arial" w:hAnsi="Arial" w:cs="Arial"/>
        </w:rPr>
      </w:pPr>
      <w:r>
        <w:rPr>
          <w:rFonts w:cs="Arial" w:ascii="Arial" w:hAnsi="Arial"/>
        </w:rPr>
        <w:t>Risk Mitigation – See table above.</w:t>
      </w:r>
    </w:p>
    <w:p>
      <w:pPr>
        <w:pStyle w:val="Header"/>
        <w:widowControl/>
        <w:tabs>
          <w:tab w:val="clear" w:pos="4320"/>
          <w:tab w:val="clear" w:pos="8640"/>
        </w:tabs>
        <w:rPr>
          <w:rFonts w:ascii="Arial" w:hAnsi="Arial" w:cs="Arial"/>
        </w:rPr>
      </w:pPr>
      <w:r>
        <w:rPr>
          <w:rFonts w:cs="Arial" w:ascii="Arial" w:hAnsi="Arial"/>
        </w:rPr>
      </w:r>
    </w:p>
    <w:p>
      <w:pPr>
        <w:pStyle w:val="Header"/>
        <w:widowControl/>
        <w:tabs>
          <w:tab w:val="clear" w:pos="4320"/>
          <w:tab w:val="clear" w:pos="8640"/>
        </w:tabs>
        <w:rPr>
          <w:rFonts w:ascii="Arial" w:hAnsi="Arial" w:cs="Arial"/>
        </w:rPr>
      </w:pPr>
      <w:r>
        <w:rPr>
          <w:rFonts w:cs="Arial" w:ascii="Arial" w:hAnsi="Arial"/>
        </w:rPr>
      </w:r>
    </w:p>
    <w:p>
      <w:pPr>
        <w:pStyle w:val="Normal"/>
        <w:pBdr>
          <w:top w:val="single" w:sz="8" w:space="1" w:color="000000"/>
        </w:pBdr>
        <w:rPr>
          <w:rFonts w:ascii="Arial" w:hAnsi="Arial" w:cs="Arial"/>
          <w:b/>
          <w:sz w:val="20"/>
        </w:rPr>
      </w:pPr>
      <w:r>
        <w:rPr>
          <w:rFonts w:cs="Arial" w:ascii="Arial" w:hAnsi="Arial"/>
          <w:b/>
          <w:sz w:val="20"/>
        </w:rPr>
        <w:t>OTHER RAC COMMENTS</w:t>
      </w:r>
    </w:p>
    <w:p>
      <w:pPr>
        <w:pStyle w:val="Normal"/>
        <w:pBdr>
          <w:top w:val="single" w:sz="8" w:space="1" w:color="000000"/>
        </w:pBdr>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Different from other outage options, this option will be written at the money based upon quotes on Enron Online on the day of execution and will pay-out on the basis of hourly intra-day readings against a fixed daily average.  This exposes Enron to payment on intra-day market volatility.</w:t>
      </w:r>
    </w:p>
    <w:p>
      <w:pPr>
        <w:pStyle w:val="Normal"/>
        <w:pBdr>
          <w:top w:val="single" w:sz="8" w:space="1" w:color="000000"/>
        </w:pBdr>
        <w:rPr>
          <w:rFonts w:ascii="Arial" w:hAnsi="Arial" w:cs="Arial"/>
          <w:b/>
          <w:sz w:val="20"/>
        </w:rPr>
      </w:pPr>
      <w:r>
        <w:rPr>
          <w:rFonts w:cs="Arial" w:ascii="Arial" w:hAnsi="Arial"/>
          <w:b/>
          <w:sz w:val="20"/>
        </w:rPr>
      </w:r>
    </w:p>
    <w:p>
      <w:pPr>
        <w:pStyle w:val="Normal"/>
        <w:pBdr>
          <w:top w:val="single" w:sz="8" w:space="1" w:color="000000"/>
        </w:pBdr>
        <w:rPr>
          <w:rFonts w:ascii="Arial" w:hAnsi="Arial" w:cs="Arial"/>
          <w:sz w:val="20"/>
        </w:rPr>
      </w:pPr>
      <w:r>
        <w:rPr>
          <w:rFonts w:cs="Arial" w:ascii="Arial" w:hAnsi="Arial"/>
          <w:sz w:val="20"/>
        </w:rPr>
        <w:t>Buyer of the option absorbs a first loss on 50MW of de-ratings and 670MW of capacity.</w:t>
      </w:r>
    </w:p>
    <w:p>
      <w:pPr>
        <w:pStyle w:val="Normal"/>
        <w:pBdr>
          <w:top w:val="single" w:sz="8" w:space="1" w:color="000000"/>
        </w:pBdr>
        <w:rPr>
          <w:rFonts w:ascii="Arial" w:hAnsi="Arial" w:cs="Arial"/>
          <w:sz w:val="20"/>
        </w:rPr>
      </w:pPr>
      <w:r>
        <w:rPr>
          <w:rFonts w:cs="Arial" w:ascii="Arial" w:hAnsi="Arial"/>
          <w:sz w:val="20"/>
        </w:rPr>
      </w:r>
    </w:p>
    <w:p>
      <w:pPr>
        <w:pStyle w:val="Normal"/>
        <w:pBdr>
          <w:top w:val="single" w:sz="8" w:space="1" w:color="000000"/>
        </w:pBdr>
        <w:rPr>
          <w:rFonts w:ascii="Arial" w:hAnsi="Arial" w:cs="Arial"/>
          <w:sz w:val="20"/>
        </w:rPr>
      </w:pPr>
      <w:r>
        <w:rPr>
          <w:rFonts w:cs="Arial" w:ascii="Arial" w:hAnsi="Arial"/>
          <w:sz w:val="20"/>
        </w:rPr>
        <w:t>The GRM Portfolio has been partially hedged through purchases of physical daily call options on Entergy.  No hedges are in place for this capacity</w:t>
      </w:r>
      <w:r>
        <w:rPr>
          <w:rFonts w:cs="Arial" w:ascii="Arial" w:hAnsi="Arial"/>
          <w:b/>
          <w:sz w:val="20"/>
        </w:rPr>
        <w:t>.  RAC’s concern is GRMs present inability to syndicate the P99 to P100 tail exposure in the re-insurance market.  The required date for meeting this condition was May 31, 2001.</w:t>
      </w:r>
    </w:p>
    <w:p>
      <w:pPr>
        <w:pStyle w:val="Normal"/>
        <w:pBdr>
          <w:top w:val="single" w:sz="8" w:space="1" w:color="000000"/>
        </w:pBdr>
        <w:rPr>
          <w:rFonts w:ascii="Arial" w:hAnsi="Arial" w:cs="Arial"/>
          <w:sz w:val="20"/>
        </w:rPr>
      </w:pPr>
      <w:r>
        <w:rPr>
          <w:rFonts w:cs="Arial" w:ascii="Arial" w:hAnsi="Arial"/>
          <w:sz w:val="20"/>
        </w:rPr>
      </w:r>
    </w:p>
    <w:p>
      <w:pPr>
        <w:pStyle w:val="Normal"/>
        <w:pBdr>
          <w:top w:val="single" w:sz="8" w:space="1" w:color="000000"/>
        </w:pBdr>
        <w:rPr>
          <w:rFonts w:ascii="Arial" w:hAnsi="Arial" w:cs="Arial"/>
          <w:sz w:val="20"/>
        </w:rPr>
      </w:pPr>
      <w:r>
        <w:rPr>
          <w:rFonts w:cs="Arial" w:ascii="Arial" w:hAnsi="Arial"/>
          <w:sz w:val="20"/>
        </w:rPr>
        <w:t>Maximum loss under this derivative contract is $50 million.  Although additional transactions add value by diversifying risk, until the tail risk has been hedged, there is remains significant extreme value exposure.  Upon inclusion of this transaction, Enron’s Maximum Loss exposure is $280 million.  The portfolio P99 (“Notional Maximum Loss”) exposure is approximately $39.3 million, compared to gross aggregate premiums received of $9.4 million.</w:t>
      </w:r>
    </w:p>
    <w:p>
      <w:pPr>
        <w:pStyle w:val="Normal"/>
        <w:pBdr>
          <w:top w:val="single" w:sz="8" w:space="1" w:color="000000"/>
        </w:pBdr>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An interim Notional Maximum Loss (portfolio P99) limit has been set at $120 million for the Outage Option portfolio.  The Enron Board of Directors approved this limit on May 1, 2001.</w:t>
      </w:r>
    </w:p>
    <w:p>
      <w:pPr>
        <w:pStyle w:val="Normal"/>
        <w:rPr>
          <w:rFonts w:ascii="Arial" w:hAnsi="Arial" w:cs="Arial"/>
          <w:sz w:val="20"/>
        </w:rPr>
      </w:pPr>
      <w:r>
        <w:rPr>
          <w:rFonts w:cs="Arial" w:ascii="Arial" w:hAnsi="Arial"/>
          <w:sz w:val="20"/>
        </w:rPr>
      </w:r>
    </w:p>
    <w:p>
      <w:pPr>
        <w:pStyle w:val="Normal"/>
        <w:pBdr>
          <w:top w:val="single" w:sz="8" w:space="1" w:color="000000"/>
        </w:pBdr>
        <w:rPr>
          <w:rFonts w:ascii="Arial" w:hAnsi="Arial" w:cs="Arial"/>
          <w:b/>
          <w:sz w:val="20"/>
        </w:rPr>
      </w:pPr>
      <w:r>
        <w:rPr>
          <w:rFonts w:cs="Arial" w:ascii="Arial" w:hAnsi="Arial"/>
          <w:b/>
          <w:sz w:val="20"/>
        </w:rPr>
        <w:t xml:space="preserve">MILESTONES </w:t>
      </w:r>
    </w:p>
    <w:p>
      <w:pPr>
        <w:pStyle w:val="Normal"/>
        <w:rPr>
          <w:rFonts w:ascii="Arial" w:hAnsi="Arial" w:cs="Arial"/>
          <w:b/>
          <w:sz w:val="20"/>
        </w:rPr>
      </w:pPr>
      <w:r>
        <w:rPr>
          <w:rFonts w:cs="Arial" w:ascii="Arial" w:hAnsi="Arial"/>
          <w:b/>
          <w:sz w:val="20"/>
        </w:rPr>
      </w:r>
    </w:p>
    <w:p>
      <w:pPr>
        <w:pStyle w:val="Normal"/>
        <w:numPr>
          <w:ilvl w:val="0"/>
          <w:numId w:val="5"/>
        </w:numPr>
        <w:tabs>
          <w:tab w:val="clear" w:pos="720"/>
          <w:tab w:val="left" w:pos="360" w:leader="none"/>
          <w:tab w:val="left" w:pos="1440" w:leader="none"/>
        </w:tabs>
        <w:ind w:hanging="360" w:start="360" w:end="-396"/>
        <w:rPr>
          <w:rFonts w:ascii="Arial" w:hAnsi="Arial" w:cs="Arial"/>
          <w:sz w:val="20"/>
        </w:rPr>
      </w:pPr>
      <w:r>
        <w:rPr>
          <w:rFonts w:cs="Arial" w:ascii="Arial" w:hAnsi="Arial"/>
          <w:sz w:val="20"/>
        </w:rPr>
        <w:t>Notification of deal status</w:t>
        <w:tab/>
        <w:tab/>
        <w:tab/>
        <w:tab/>
        <w:tab/>
        <w:tab/>
        <w:tab/>
        <w:t>06/01/01</w:t>
      </w:r>
    </w:p>
    <w:p>
      <w:pPr>
        <w:pStyle w:val="Normal"/>
        <w:numPr>
          <w:ilvl w:val="0"/>
          <w:numId w:val="5"/>
        </w:numPr>
        <w:tabs>
          <w:tab w:val="clear" w:pos="720"/>
          <w:tab w:val="left" w:pos="360" w:leader="none"/>
          <w:tab w:val="left" w:pos="1440" w:leader="none"/>
        </w:tabs>
        <w:ind w:hanging="360" w:start="360" w:end="-396"/>
        <w:rPr>
          <w:rFonts w:ascii="Arial" w:hAnsi="Arial" w:cs="Arial"/>
          <w:sz w:val="20"/>
        </w:rPr>
      </w:pPr>
      <w:r>
        <w:rPr>
          <w:rFonts w:cs="Arial" w:ascii="Arial" w:hAnsi="Arial"/>
          <w:sz w:val="20"/>
        </w:rPr>
        <w:t>Report on Re-insurance indications</w:t>
        <w:tab/>
        <w:tab/>
        <w:tab/>
        <w:tab/>
        <w:tab/>
        <w:tab/>
        <w:t>06/15/01</w:t>
      </w:r>
    </w:p>
    <w:p>
      <w:pPr>
        <w:pStyle w:val="Normal"/>
        <w:numPr>
          <w:ilvl w:val="0"/>
          <w:numId w:val="5"/>
        </w:numPr>
        <w:tabs>
          <w:tab w:val="clear" w:pos="720"/>
          <w:tab w:val="left" w:pos="360" w:leader="none"/>
          <w:tab w:val="left" w:pos="1440" w:leader="none"/>
        </w:tabs>
        <w:ind w:hanging="360" w:start="360" w:end="-396"/>
        <w:rPr>
          <w:rFonts w:ascii="Arial" w:hAnsi="Arial" w:cs="Arial"/>
          <w:sz w:val="20"/>
        </w:rPr>
      </w:pPr>
      <w:r>
        <w:rPr>
          <w:rFonts w:cs="Arial" w:ascii="Arial" w:hAnsi="Arial"/>
          <w:sz w:val="20"/>
        </w:rPr>
        <w:t xml:space="preserve">Status of Portfolio </w:t>
        <w:tab/>
        <w:tab/>
        <w:tab/>
        <w:tab/>
        <w:tab/>
        <w:tab/>
        <w:tab/>
        <w:tab/>
        <w:t>06/29/01</w:t>
      </w:r>
    </w:p>
    <w:p>
      <w:pPr>
        <w:pStyle w:val="Normal"/>
        <w:numPr>
          <w:ilvl w:val="0"/>
          <w:numId w:val="5"/>
        </w:numPr>
        <w:tabs>
          <w:tab w:val="clear" w:pos="720"/>
          <w:tab w:val="left" w:pos="360" w:leader="none"/>
          <w:tab w:val="left" w:pos="1440" w:leader="none"/>
        </w:tabs>
        <w:ind w:hanging="360" w:start="360" w:end="-396"/>
        <w:rPr>
          <w:rFonts w:ascii="Arial" w:hAnsi="Arial" w:cs="Arial"/>
          <w:sz w:val="20"/>
        </w:rPr>
      </w:pPr>
      <w:r>
        <w:rPr>
          <w:rFonts w:cs="Arial" w:ascii="Arial" w:hAnsi="Arial"/>
          <w:sz w:val="20"/>
        </w:rPr>
        <w:t xml:space="preserve">Reinsurance obtained to cover tail risk </w:t>
        <w:tab/>
        <w:tab/>
        <w:tab/>
        <w:tab/>
        <w:tab/>
        <w:t>06/30/01</w:t>
      </w:r>
    </w:p>
    <w:p>
      <w:pPr>
        <w:pStyle w:val="Normal"/>
        <w:rPr>
          <w:rFonts w:ascii="Arial" w:hAnsi="Arial" w:cs="Arial"/>
          <w:b/>
          <w:sz w:val="20"/>
        </w:rPr>
      </w:pPr>
      <w:r>
        <w:rPr>
          <w:rFonts w:cs="Arial" w:ascii="Arial" w:hAnsi="Arial"/>
          <w:b/>
          <w:sz w:val="20"/>
        </w:rPr>
      </w:r>
      <w:r>
        <w:br w:type="page"/>
      </w:r>
    </w:p>
    <w:p>
      <w:pPr>
        <w:pStyle w:val="Normal"/>
        <w:rPr>
          <w:rFonts w:ascii="Arial" w:hAnsi="Arial" w:cs="Arial"/>
          <w:b/>
          <w:sz w:val="20"/>
        </w:rPr>
      </w:pPr>
      <w:r>
        <w:rPr>
          <w:rFonts w:cs="Arial" w:ascii="Arial" w:hAnsi="Arial"/>
          <w:b/>
          <w:sz w:val="20"/>
        </w:rPr>
      </w:r>
    </w:p>
    <w:tbl>
      <w:tblPr>
        <w:tblW w:w="10368" w:type="dxa"/>
        <w:jc w:val="start"/>
        <w:tblInd w:w="0" w:type="dxa"/>
        <w:tblLayout w:type="fixed"/>
        <w:tblCellMar>
          <w:top w:w="0" w:type="dxa"/>
          <w:start w:w="108" w:type="dxa"/>
          <w:bottom w:w="0" w:type="dxa"/>
          <w:end w:w="108" w:type="dxa"/>
        </w:tblCellMar>
      </w:tblPr>
      <w:tblGrid>
        <w:gridCol w:w="2448"/>
        <w:gridCol w:w="360"/>
        <w:gridCol w:w="3050"/>
        <w:gridCol w:w="239"/>
        <w:gridCol w:w="2921"/>
        <w:gridCol w:w="293"/>
        <w:gridCol w:w="105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3050"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c>
          <w:tcPr>
            <w:tcW w:w="2448" w:type="dxa"/>
            <w:tcBorders/>
          </w:tcPr>
          <w:p>
            <w:pPr>
              <w:pStyle w:val="Normal"/>
              <w:spacing w:before="120" w:after="0"/>
              <w:rPr>
                <w:rFonts w:ascii="Arial" w:hAnsi="Arial" w:cs="Arial"/>
                <w:sz w:val="20"/>
              </w:rPr>
            </w:pPr>
            <w:r>
              <w:rPr>
                <w:rFonts w:cs="Arial" w:ascii="Arial" w:hAnsi="Arial"/>
                <w:sz w:val="20"/>
              </w:rPr>
              <w:t>GRM Origination</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tcBorders>
          </w:tcPr>
          <w:p>
            <w:pPr>
              <w:pStyle w:val="Normal"/>
              <w:spacing w:before="120" w:after="0"/>
              <w:rPr>
                <w:rFonts w:ascii="Arial" w:hAnsi="Arial" w:cs="Arial"/>
                <w:sz w:val="20"/>
              </w:rPr>
            </w:pPr>
            <w:r>
              <w:rPr>
                <w:rFonts w:cs="Arial" w:ascii="Arial" w:hAnsi="Arial"/>
                <w:sz w:val="20"/>
              </w:rPr>
              <w:t>David Hoog</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GRM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Per Sekse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EGM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Mike McConnell/Jeff Shankman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Legal</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Frevert/Greg Whalley</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Enron Global Finance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4" w:space="0" w:color="000000"/>
            </w:tcBorders>
          </w:tcPr>
          <w:p>
            <w:pPr>
              <w:pStyle w:val="Normal"/>
              <w:spacing w:before="120" w:after="0"/>
              <w:rPr>
                <w:rFonts w:ascii="Arial" w:hAnsi="Arial" w:cs="Arial"/>
                <w:sz w:val="20"/>
              </w:rPr>
            </w:pPr>
            <w:r>
              <w:rPr>
                <w:rFonts w:cs="Arial" w:ascii="Arial" w:hAnsi="Arial"/>
                <w:sz w:val="20"/>
              </w:rPr>
              <w:t>Andy Fastow/Ben Glisan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ENE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4" w:space="0" w:color="000000"/>
              <w:bottom w:val="single" w:sz="4" w:space="0" w:color="000000"/>
            </w:tcBorders>
          </w:tcPr>
          <w:p>
            <w:pPr>
              <w:pStyle w:val="Normal"/>
              <w:spacing w:before="120" w:after="0"/>
              <w:rPr>
                <w:rFonts w:ascii="Arial" w:hAnsi="Arial" w:cs="Arial"/>
                <w:sz w:val="20"/>
              </w:rPr>
            </w:pPr>
            <w:r>
              <w:rPr>
                <w:rFonts w:cs="Arial" w:ascii="Arial" w:hAnsi="Arial"/>
                <w:sz w:val="20"/>
              </w:rPr>
              <w:t>Ken Lay/Jeff Skilling</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4"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rPr>
      </w:pPr>
      <w:r>
        <w:rPr>
          <w:rFonts w:cs="Arial" w:ascii="Arial" w:hAnsi="Arial"/>
          <w:b/>
          <w:sz w:val="20"/>
        </w:rPr>
      </w:r>
      <w:r>
        <w:br w:type="page"/>
      </w:r>
    </w:p>
    <w:p>
      <w:pPr>
        <w:pStyle w:val="Normal"/>
        <w:rPr>
          <w:rFonts w:ascii="Arial" w:hAnsi="Arial" w:cs="Arial"/>
          <w:b/>
          <w:sz w:val="20"/>
        </w:rPr>
      </w:pPr>
      <w:r>
        <w:rPr>
          <w:rFonts w:cs="Arial" w:ascii="Arial" w:hAnsi="Arial"/>
          <w:b/>
          <w:sz w:val="20"/>
        </w:rPr>
      </w:r>
    </w:p>
    <w:p>
      <w:pPr>
        <w:pStyle w:val="Normal"/>
        <w:tabs>
          <w:tab w:val="left" w:pos="720" w:leader="none"/>
          <w:tab w:val="left" w:pos="2880" w:leader="none"/>
          <w:tab w:val="left" w:pos="3420" w:leader="none"/>
        </w:tabs>
        <w:rPr>
          <w:rFonts w:ascii="Arial" w:hAnsi="Arial" w:cs="Arial"/>
          <w:b/>
          <w:sz w:val="20"/>
        </w:rPr>
      </w:pPr>
      <w:r>
        <w:rPr>
          <w:rFonts w:cs="Arial" w:ascii="Arial" w:hAnsi="Arial"/>
          <w:b/>
          <w:sz w:val="20"/>
        </w:rPr>
        <w:t>Allegheny Units Covered</w:t>
        <w:tab/>
        <w:tab/>
        <w:t xml:space="preserve"> </w:t>
        <w:tab/>
        <w:tab/>
        <w:t>Fuel</w:t>
        <w:tab/>
        <w:tab/>
        <w:tab/>
        <w:tab/>
        <w:t>Net Dependable Capacity</w:t>
      </w:r>
    </w:p>
    <w:p>
      <w:pPr>
        <w:pStyle w:val="Normal"/>
        <w:tabs>
          <w:tab w:val="left" w:pos="720" w:leader="none"/>
          <w:tab w:val="left" w:pos="2880" w:leader="none"/>
          <w:tab w:val="left" w:pos="3420" w:leader="none"/>
        </w:tabs>
        <w:rPr>
          <w:rFonts w:ascii="Arial" w:hAnsi="Arial" w:cs="Arial"/>
          <w:sz w:val="20"/>
        </w:rPr>
      </w:pPr>
      <w:r>
        <w:rPr>
          <w:rFonts w:cs="Arial" w:ascii="Arial" w:hAnsi="Arial"/>
          <w:b/>
          <w:sz w:val="20"/>
        </w:rPr>
        <w:tab/>
        <w:tab/>
        <w:tab/>
        <w:tab/>
        <w:tab/>
        <w:tab/>
        <w:tab/>
        <w:tab/>
        <w:tab/>
        <w:tab/>
        <w:t>(NDC MW)</w:t>
      </w:r>
    </w:p>
    <w:tbl>
      <w:tblPr>
        <w:tblW w:w="10440" w:type="dxa"/>
        <w:jc w:val="start"/>
        <w:tblInd w:w="0" w:type="dxa"/>
        <w:tblLayout w:type="fixed"/>
        <w:tblCellMar>
          <w:top w:w="0" w:type="dxa"/>
          <w:start w:w="108" w:type="dxa"/>
          <w:bottom w:w="0" w:type="dxa"/>
          <w:end w:w="108" w:type="dxa"/>
        </w:tblCellMar>
      </w:tblPr>
      <w:tblGrid>
        <w:gridCol w:w="3577"/>
        <w:gridCol w:w="3420"/>
        <w:gridCol w:w="3443"/>
      </w:tblGrid>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ALBRIGHT 1</w:t>
              <w:tab/>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76</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ALBRIGHT 2</w:t>
              <w:tab/>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76</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ALBRIGHT 3</w:t>
            </w:r>
          </w:p>
        </w:tc>
        <w:tc>
          <w:tcPr>
            <w:tcW w:w="342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140</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ARMSTRONG 1</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180</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ARMSTRONG 2</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176</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FT MARTIN 1</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552</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FT MARTIN 2</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555</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HARRISON 1</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610</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HARRISON 2</w:t>
              <w:tab/>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610</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HARRISON 3</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610</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HATFIELD 1</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570</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HATFIELD 2</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570</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HATFIELD 3</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570</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LAKE LYNN 1</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13</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LAKE LYNN 2</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13</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LAKE LYNN 3</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13</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LAKE LYNN 4</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13</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MITCHELL 1</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78</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MITCHELL 2</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78</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MITCHELL 3</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288</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PLEASANTS 1</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650</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PLEASANTS 2</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635</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RIVESVILLE 5</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48</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RIVESVILLE 6</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94</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SMITH 3</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28</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SMITH 4</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88</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WILLOW IS 1</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55</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WILLOW IS 2</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186</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AE 1</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44</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AE 2</w:t>
              <w:tab/>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44</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GANS 8</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44</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GANS 9</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44</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CONEMAUGH</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83</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HUNLOCK</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24</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HUNLOCK CT</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22</w:t>
            </w:r>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OVEC</w:t>
              <w:tab/>
              <w:tab/>
              <w:tab/>
              <w:tab/>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rFonts w:ascii="Arial" w:hAnsi="Arial" w:cs="Arial"/>
                <w:sz w:val="20"/>
              </w:rPr>
            </w:pPr>
            <w:r>
              <w:rPr>
                <w:rFonts w:cs="Arial" w:ascii="Arial" w:hAnsi="Arial"/>
                <w:sz w:val="20"/>
              </w:rPr>
            </w:r>
          </w:p>
        </w:tc>
        <w:tc>
          <w:tcPr>
            <w:tcW w:w="344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rFonts w:ascii="Arial" w:hAnsi="Arial" w:cs="Arial"/>
                <w:sz w:val="20"/>
              </w:rPr>
            </w:pPr>
            <w:r>
              <w:rPr>
                <w:rFonts w:cs="Arial" w:ascii="Arial" w:hAnsi="Arial"/>
                <w:sz w:val="20"/>
              </w:rPr>
              <w:t>234</w:t>
            </w:r>
          </w:p>
        </w:tc>
      </w:tr>
    </w:tbl>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7</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Normal"/>
            <w:rPr>
              <w:rFonts w:ascii="Arial" w:hAnsi="Arial" w:cs="Arial"/>
              <w:b/>
              <w:sz w:val="20"/>
            </w:rPr>
          </w:pPr>
          <w:r>
            <w:rPr>
              <w:rFonts w:cs="Arial" w:ascii="Arial" w:hAnsi="Arial"/>
              <w:b/>
              <w:sz w:val="20"/>
            </w:rPr>
            <w:t>RAC Deal Approval Sheet</w:t>
          </w:r>
        </w:p>
      </w:tc>
      <w:tc>
        <w:tcPr>
          <w:tcW w:w="6372" w:type="dxa"/>
          <w:tcBorders/>
        </w:tcPr>
        <w:p>
          <w:pPr>
            <w:pStyle w:val="Normal"/>
            <w:rPr>
              <w:sz w:val="20"/>
            </w:rPr>
          </w:pPr>
          <w:r>
            <w:rPr>
              <w:rFonts w:eastAsia="Arial" w:cs="Arial" w:ascii="Arial" w:hAnsi="Arial"/>
              <w:b/>
              <w:sz w:val="20"/>
            </w:rPr>
            <w:t xml:space="preserve">                                                 </w:t>
          </w:r>
          <w:r>
            <w:rPr>
              <w:rFonts w:cs="Arial" w:ascii="Arial" w:hAnsi="Arial"/>
              <w:b/>
              <w:sz w:val="20"/>
            </w:rPr>
            <w:t>Outage Options – Allegheny “B” (7)</w:t>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b w:val="false"/>
      <w:i w:val="false"/>
    </w:rPr>
  </w:style>
  <w:style w:type="character" w:styleId="WW8Num4z0">
    <w:name w:val="WW8Num4z0"/>
    <w:qFormat/>
    <w:rPr>
      <w:b w:val="false"/>
      <w:i w:val="fals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ind w:hanging="0" w:start="0" w:end="-36"/>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2001-06-07T12:34:00Z</dcterms:created>
  <dc:creator>kjolly</dc:creator>
  <dc:description>V3.3
Updated to add filename to headers
</dc:description>
  <dc:language>en-CA</dc:language>
  <cp:lastModifiedBy>Lawrence Marcus</cp:lastModifiedBy>
  <cp:lastPrinted>2001-06-07T09:57:00Z</cp:lastPrinted>
  <dcterms:modified xsi:type="dcterms:W3CDTF">2001-06-07T13:47:00Z</dcterms:modified>
  <cp:revision>5</cp:revision>
  <dc:subject/>
  <dc:title>ENRON RISK ASSESSMENT AND CONTROL</dc:title>
</cp:coreProperties>
</file>