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pPr>
      <w:r>
        <w:rPr>
          <w:rFonts w:cs="Arial" w:ascii="Arial" w:hAnsi="Arial"/>
          <w:b/>
          <w:sz w:val="24"/>
        </w:rPr>
        <w:t xml:space="preserve">Allegheny Questions: </w:t>
      </w:r>
      <w:r>
        <w:rPr>
          <w:rFonts w:cs="Arial" w:ascii="Arial" w:hAnsi="Arial"/>
          <w:b/>
          <w:color w:val="000000"/>
          <w:sz w:val="24"/>
        </w:rPr>
        <w:t xml:space="preserve">Wheatland, Gleason and Lincoln </w:t>
      </w:r>
      <w:r>
        <w:rPr>
          <w:rFonts w:cs="Arial" w:ascii="Arial" w:hAnsi="Arial"/>
          <w:b/>
          <w:sz w:val="24"/>
        </w:rPr>
        <w:t>(Third Batch)</w:t>
      </w:r>
    </w:p>
    <w:p>
      <w:pPr>
        <w:pStyle w:val="Heading2"/>
        <w:ind w:hanging="0" w:start="0"/>
        <w:rPr>
          <w:rFonts w:ascii="Arial" w:hAnsi="Arial" w:cs="Arial"/>
          <w:sz w:val="24"/>
        </w:rPr>
      </w:pPr>
      <w:r>
        <w:rPr>
          <w:rFonts w:cs="Arial" w:ascii="Arial" w:hAnsi="Arial"/>
          <w:sz w:val="24"/>
        </w:rPr>
        <w:t>October 25, 2000</w:t>
      </w:r>
    </w:p>
    <w:p>
      <w:pPr>
        <w:pStyle w:val="Normal"/>
        <w:spacing w:lineRule="atLeast" w:line="240"/>
        <w:rPr>
          <w:rFonts w:ascii="Courier;Courier New" w:hAnsi="Courier;Courier New" w:cs="Courier;Courier New"/>
          <w:color w:val="000000"/>
          <w:sz w:val="24"/>
        </w:rPr>
      </w:pPr>
      <w:r>
        <w:rPr>
          <w:rFonts w:cs="Courier;Courier New" w:ascii="Courier;Courier New" w:hAnsi="Courier;Courier New"/>
          <w:color w:val="000000"/>
          <w:sz w:val="24"/>
        </w:rPr>
      </w:r>
    </w:p>
    <w:p>
      <w:pPr>
        <w:pStyle w:val="Normal"/>
        <w:spacing w:lineRule="atLeast" w:line="240"/>
        <w:rPr>
          <w:rFonts w:ascii="Courier;Courier New" w:hAnsi="Courier;Courier New" w:cs="Courier;Courier New"/>
          <w:color w:val="000000"/>
        </w:rPr>
      </w:pPr>
      <w:r>
        <w:rPr>
          <w:rFonts w:cs="Courier;Courier New" w:ascii="Courier;Courier New" w:hAnsi="Courier;Courier New"/>
          <w:color w:val="000000"/>
        </w:rPr>
      </w:r>
    </w:p>
    <w:p>
      <w:pPr>
        <w:pStyle w:val="Normal"/>
        <w:spacing w:lineRule="atLeast" w:line="240"/>
        <w:rPr>
          <w:rFonts w:ascii="Arial" w:hAnsi="Arial" w:cs="Arial"/>
          <w:color w:val="000000"/>
          <w:sz w:val="24"/>
        </w:rPr>
      </w:pPr>
      <w:r>
        <w:rPr>
          <w:rFonts w:cs="Arial" w:ascii="Arial" w:hAnsi="Arial"/>
          <w:color w:val="000000"/>
          <w:sz w:val="24"/>
        </w:rPr>
        <w:t>1.  We noticed that Schedule 4.1(u) for each facility indicates that an</w:t>
      </w:r>
    </w:p>
    <w:p>
      <w:pPr>
        <w:pStyle w:val="Normal"/>
        <w:spacing w:lineRule="atLeast" w:line="240"/>
        <w:rPr>
          <w:rFonts w:ascii="Arial" w:hAnsi="Arial" w:cs="Arial"/>
          <w:color w:val="000000"/>
          <w:sz w:val="24"/>
        </w:rPr>
      </w:pPr>
      <w:r>
        <w:rPr>
          <w:rFonts w:cs="Arial" w:ascii="Arial" w:hAnsi="Arial"/>
          <w:color w:val="000000"/>
          <w:sz w:val="24"/>
        </w:rPr>
        <w:t>SPCC is needed but not currently in place.  What is stored that triggers</w:t>
      </w:r>
    </w:p>
    <w:p>
      <w:pPr>
        <w:pStyle w:val="Normal"/>
        <w:spacing w:lineRule="atLeast" w:line="240"/>
        <w:rPr>
          <w:rFonts w:ascii="Arial" w:hAnsi="Arial" w:cs="Arial"/>
          <w:color w:val="000000"/>
          <w:sz w:val="24"/>
        </w:rPr>
      </w:pPr>
      <w:r>
        <w:rPr>
          <w:rFonts w:cs="Arial" w:ascii="Arial" w:hAnsi="Arial"/>
          <w:color w:val="000000"/>
          <w:sz w:val="24"/>
        </w:rPr>
        <w:t>The SPCC requirement?  How long have these materials been stored at the</w:t>
      </w:r>
    </w:p>
    <w:p>
      <w:pPr>
        <w:pStyle w:val="Normal"/>
        <w:spacing w:lineRule="atLeast" w:line="240"/>
        <w:rPr>
          <w:rFonts w:ascii="Arial" w:hAnsi="Arial" w:cs="Arial"/>
          <w:color w:val="000000"/>
          <w:sz w:val="24"/>
        </w:rPr>
      </w:pPr>
      <w:r>
        <w:rPr>
          <w:rFonts w:cs="Arial" w:ascii="Arial" w:hAnsi="Arial"/>
          <w:color w:val="000000"/>
          <w:sz w:val="24"/>
        </w:rPr>
        <w:t>Facilities?</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color w:val="000000"/>
          <w:sz w:val="24"/>
        </w:rPr>
        <w:t>Wheatland:</w:t>
      </w:r>
    </w:p>
    <w:p>
      <w:pPr>
        <w:pStyle w:val="Normal"/>
        <w:rPr>
          <w:rFonts w:ascii="Arial" w:hAnsi="Arial" w:cs="Arial"/>
          <w:sz w:val="24"/>
        </w:rPr>
      </w:pPr>
      <w:r>
        <w:rPr>
          <w:rFonts w:cs="Arial" w:ascii="Arial" w:hAnsi="Arial"/>
          <w:sz w:val="24"/>
        </w:rPr>
        <w:t>Our initial thinking was to count oil stored in storage tanks and/or containers for determining whether or not an SPCC plan is required. The used oil stored on site does not exceed the threshold for triggering an SPCC plan. In a recent review to an EPA guidance document, there was evidence that turbine loop oil and oil stored in transformers may need to be counted toward the threshold. It is our position however, that such oil should be considered as oil in-process and should not be counted toward the determination. To eliminate the potential for being questioned on this issue in the future and be able to meet Enron’s environmental policies and procedures for good management practices, we proceeded with the development of an SPCC plan. From a regulatory standpoint, we are still not convinced that it is required.</w:t>
      </w:r>
    </w:p>
    <w:p>
      <w:pPr>
        <w:pStyle w:val="Normal"/>
        <w:rPr>
          <w:rFonts w:ascii="Arial" w:hAnsi="Arial" w:cs="Arial"/>
          <w:sz w:val="24"/>
        </w:rPr>
      </w:pPr>
      <w:r>
        <w:rPr>
          <w:rFonts w:cs="Arial" w:ascii="Arial" w:hAnsi="Arial"/>
          <w:sz w:val="24"/>
        </w:rPr>
        <w:t>The SPCC plan is still in development.  The anticipated completion date is November 30,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color w:val="000000"/>
          <w:sz w:val="24"/>
        </w:rPr>
      </w:pPr>
      <w:r>
        <w:rPr>
          <w:rFonts w:cs="Arial" w:ascii="Arial" w:hAnsi="Arial"/>
          <w:b/>
          <w:color w:val="000000"/>
          <w:sz w:val="24"/>
        </w:rPr>
        <w:t>Gleason:</w:t>
      </w:r>
    </w:p>
    <w:p>
      <w:pPr>
        <w:pStyle w:val="Normal"/>
        <w:rPr>
          <w:rFonts w:ascii="Arial" w:hAnsi="Arial" w:cs="Arial"/>
          <w:color w:val="000000"/>
          <w:sz w:val="24"/>
        </w:rPr>
      </w:pPr>
      <w:r>
        <w:rPr>
          <w:rFonts w:cs="Arial" w:ascii="Arial" w:hAnsi="Arial"/>
          <w:color w:val="000000"/>
          <w:sz w:val="24"/>
        </w:rPr>
        <w:t>Same as Above</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spacing w:lineRule="atLeast" w:line="240"/>
        <w:rPr/>
      </w:pPr>
      <w:r>
        <w:rPr>
          <w:rFonts w:cs="Arial" w:ascii="Arial" w:hAnsi="Arial"/>
          <w:b/>
          <w:color w:val="000000"/>
          <w:sz w:val="24"/>
        </w:rPr>
        <w:t>Lincoln</w:t>
      </w:r>
      <w:r>
        <w:rPr>
          <w:rFonts w:cs="Arial" w:ascii="Arial" w:hAnsi="Arial"/>
          <w:color w:val="000000"/>
          <w:sz w:val="24"/>
        </w:rPr>
        <w:t>:</w:t>
      </w:r>
    </w:p>
    <w:p>
      <w:pPr>
        <w:pStyle w:val="Normal"/>
        <w:rPr>
          <w:rFonts w:ascii="Arial" w:hAnsi="Arial" w:cs="Arial"/>
          <w:sz w:val="24"/>
        </w:rPr>
      </w:pPr>
      <w:r>
        <w:rPr>
          <w:rFonts w:cs="Arial" w:ascii="Arial" w:hAnsi="Arial"/>
          <w:sz w:val="24"/>
        </w:rPr>
        <w:t>Same as Above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Courier New" w:hAnsi="Courier;Courier New" w:cs="Courier;Courier New"/>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2000-10-26T10:27:00Z</dcterms:created>
  <dc:creator>Ben Rogers</dc:creator>
  <dc:description/>
  <dc:language>en-CA</dc:language>
  <cp:lastModifiedBy>geghneim</cp:lastModifiedBy>
  <dcterms:modified xsi:type="dcterms:W3CDTF">2000-10-26T10:27:00Z</dcterms:modified>
  <cp:revision>2</cp:revision>
  <dc:subject/>
  <dc:title>Allegheny Questions: Wheatland, Gleason and Lincoln (Third Batch)</dc:title>
</cp:coreProperties>
</file>