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1"/>
        <w:ind w:hanging="0" w:start="0"/>
        <w:rPr>
          <w:rFonts w:ascii="Arial" w:hAnsi="Arial" w:cs="Arial"/>
          <w:sz w:val="24"/>
        </w:rPr>
      </w:pPr>
      <w:r>
        <w:rPr>
          <w:rFonts w:cs="Arial" w:ascii="Arial" w:hAnsi="Arial"/>
          <w:sz w:val="24"/>
        </w:rPr>
        <w:t>Allegheny Questions and Answers: Wheatland Facility (Second Batch)</w:t>
      </w:r>
    </w:p>
    <w:p>
      <w:pPr>
        <w:pStyle w:val="Heading3"/>
        <w:ind w:hanging="0" w:start="0"/>
        <w:rPr>
          <w:rFonts w:ascii="Arial" w:hAnsi="Arial" w:cs="Arial"/>
        </w:rPr>
      </w:pPr>
      <w:r>
        <w:rPr>
          <w:rFonts w:cs="Arial" w:ascii="Arial" w:hAnsi="Arial"/>
        </w:rPr>
        <w:t>October  23, 2000</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1.  We understand that the Wheatland facility may seek a NPDES permit to discharge wastewater directly to the White River.  How is this wastewater currently managed?  Why is the facility considering changing the management method to direct discharge under a NPDES permit?  If there are associated cost savings with a NPDES permit, what are they estimated to be?  We understand that the source of the water that is discharged is a pond associated with mining operations.  Who is the owner of the pond?  Are any water extraction permits needed to remove water from this pond and, if so, have they been obtained?  We also understand that sampling was recently performed of the water.  Please provide copies of this analysis and any associated documentation.</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A.) Yes.  The wastewater is currently managed by micro filtration with a 90% (estimated performance Ecolochem) back to the raw water system.  The remaining waste water is stored in temporary holding tanks until inventory justifies hauling it to a non-hazardous waste water facility for treatment and discharge.  NPDES will allow discharge to the White River, which allow the facility to decrease variable cost associated with wastewater removal.  By doing this the facility will be able to implement a permanent water demineralizer/RO unit and decrease long term O&amp;M costs associated with demineralization of water.  For more information regarding the Lake purchase please refer to DealBench Doc # 01.02.19, regarding the water treatment study refer to DealBench Doc # 02.06.05.01 and regarding the Ecolochem water treatment contract refer to DealBench Doc # 04.01.06.</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lang w:eastAsia="en-US"/>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2000-10-23T19:42:00Z</dcterms:created>
  <dc:creator>Ben Rogers</dc:creator>
  <dc:description/>
  <dc:language>en-CA</dc:language>
  <cp:lastModifiedBy>Ben Rogers</cp:lastModifiedBy>
  <dcterms:modified xsi:type="dcterms:W3CDTF">2000-10-23T22:23:00Z</dcterms:modified>
  <cp:revision>3</cp:revision>
  <dc:subject/>
  <dc:title>Questions for All Facilities</dc:title>
</cp:coreProperties>
</file>