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23, 2000</w:t>
      </w:r>
    </w:p>
    <w:p>
      <w:pPr>
        <w:pStyle w:val="Normal"/>
        <w:spacing w:lineRule="atLeast" w:line="240"/>
        <w:rPr>
          <w:rFonts w:ascii="Courier" w:hAnsi="Courier" w:cs="Courier"/>
          <w:color w:val="000000"/>
          <w:sz w:val="24"/>
          <w:lang w:eastAsia="en-US"/>
        </w:rPr>
      </w:pPr>
      <w:r>
        <w:rPr>
          <w:rFonts w:cs="Courier" w:ascii="Courier" w:hAnsi="Courier"/>
          <w:color w:val="000000"/>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What are the limitations on the number of hours that each facility can operate and what is the source of those limitations?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lang w:eastAsia="en-US"/>
        </w:rPr>
      </w:pPr>
      <w:r>
        <w:rPr>
          <w:rFonts w:cs="Arial" w:ascii="Arial" w:hAnsi="Arial"/>
          <w:color w:val="000000"/>
          <w:lang w:eastAsia="en-US"/>
        </w:rPr>
        <w:t>those facilities which did not undergo PSD review?</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lang w:eastAsia="en-US"/>
        </w:rPr>
      </w:pPr>
      <w:r>
        <w:rPr>
          <w:rFonts w:cs="Arial" w:ascii="Arial" w:hAnsi="Arial"/>
          <w:color w:val="000000"/>
          <w:lang w:eastAsia="en-US"/>
        </w:rPr>
        <w:t>Lincoln, although the information seemed to suggest that only the pipeline was subject to the EIS process.  See 2.02.12.G.  Was the rest of the Lincoln facility subject to the EIS process?  What was the outcome of the EIS process for the pipeline?</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lang w:eastAsia="en-US"/>
        </w:rPr>
      </w:pPr>
      <w:r>
        <w:rPr>
          <w:rFonts w:cs="Arial" w:ascii="Arial" w:hAnsi="Arial"/>
          <w:color w:val="000000"/>
          <w:lang w:eastAsia="en-US"/>
        </w:rPr>
        <w:t>page 16.  Do other permits have similar provisions?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2000-10-23T16:48:00Z</dcterms:created>
  <dc:creator>Ben Rogers</dc:creator>
  <dc:description/>
  <dc:language>en-CA</dc:language>
  <cp:lastModifiedBy>Ben Rogers</cp:lastModifiedBy>
  <dcterms:modified xsi:type="dcterms:W3CDTF">2000-10-23T17:25:00Z</dcterms:modified>
  <cp:revision>10</cp:revision>
  <dc:subject/>
  <dc:title>Questions for All Facilities</dc:title>
</cp:coreProperties>
</file>