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539"/>
        <w:gridCol w:w="891"/>
        <w:gridCol w:w="1170"/>
        <w:gridCol w:w="1260"/>
        <w:gridCol w:w="810"/>
        <w:gridCol w:w="3780"/>
      </w:tblGrid>
      <w:tr>
        <w:trPr>
          <w:trHeight w:val="1170" w:hRule="atLeast"/>
        </w:trPr>
        <w:tc>
          <w:tcPr>
            <w:tcW w:w="3528" w:type="dxa"/>
            <w:gridSpan w:val="3"/>
            <w:tcBorders/>
          </w:tcPr>
          <w:p>
            <w:pPr>
              <w:pStyle w:val="FootnoteText"/>
              <w:rPr/>
            </w:pPr>
            <w:bookmarkStart w:id="0" w:name="_1020833052"/>
            <w:bookmarkStart w:id="1" w:name="_1015064191"/>
            <w:bookmarkEnd w:id="0"/>
            <w:bookmarkEnd w:id="1"/>
            <w:r>
              <w:rPr/>
              <w:object w:dxaOrig="3287" w:dyaOrig="961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164.35pt;height:48.05pt" filled="f" o:ole="">
                  <v:imagedata r:id="rId3" o:title=""/>
                </v:shape>
                <o:OLEObject Type="Embed" ProgID="" ShapeID="ole_rId2" DrawAspect="Content" ObjectID="_679363335" r:id="rId2"/>
              </w:object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ing8"/>
              <w:ind w:hanging="0" w:start="0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DEPARTMENTAL CORRESPONDENCE</w:t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PRIVILEGED AND CONFIDENTIAL</w:t>
            </w:r>
          </w:p>
        </w:tc>
      </w:tr>
      <w:tr>
        <w:trPr>
          <w:trHeight w:val="540" w:hRule="atLeast"/>
        </w:trPr>
        <w:tc>
          <w:tcPr>
            <w:tcW w:w="2637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321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Date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April 10, 2001</w:t>
            </w:r>
          </w:p>
        </w:tc>
      </w:tr>
      <w:tr>
        <w:trPr>
          <w:trHeight w:val="801" w:hRule="atLeast"/>
        </w:trPr>
        <w:tc>
          <w:tcPr>
            <w:tcW w:w="109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Subject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860" w:type="dxa"/>
            <w:gridSpan w:val="4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enovate/Allegheny;</w:t>
            </w:r>
          </w:p>
          <w:p>
            <w:pPr>
              <w:pStyle w:val="Heading3"/>
              <w:ind w:hanging="0" w:start="0"/>
              <w:rPr/>
            </w:pPr>
            <w:r>
              <w:rPr/>
              <w:t>Master Agreement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10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From</w:t>
            </w:r>
          </w:p>
        </w:tc>
        <w:tc>
          <w:tcPr>
            <w:tcW w:w="3780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Mary Klyasheff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109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To</w:t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T. Hermann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R. Rodriguez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G. Penman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rPr/>
            </w:pPr>
            <w:r>
              <w:rPr/>
              <w:t>Copy</w:t>
            </w:r>
          </w:p>
          <w:p>
            <w:pPr>
              <w:pStyle w:val="Normal"/>
              <w:rPr/>
            </w:pPr>
            <w:r>
              <w:rPr/>
              <w:t>to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R. Dobson</w:t>
            </w:r>
          </w:p>
          <w:p>
            <w:pPr>
              <w:pStyle w:val="Normal"/>
              <w:rPr/>
            </w:pPr>
            <w:r>
              <w:rPr/>
              <w:t>S. Dickson</w:t>
            </w:r>
          </w:p>
          <w:p>
            <w:pPr>
              <w:pStyle w:val="Normal"/>
              <w:rPr/>
            </w:pPr>
            <w:r>
              <w:rPr/>
              <w:t>J. Hodge</w:t>
            </w:r>
          </w:p>
        </w:tc>
      </w:tr>
    </w:tbl>
    <w:p>
      <w:pPr>
        <w:pStyle w:val="Normal"/>
        <w:spacing w:lineRule="auto" w:line="360"/>
        <w:ind w:firstLine="720" w:start="864" w:end="0"/>
        <w:rPr/>
      </w:pPr>
      <w:r>
        <w:rPr/>
      </w:r>
    </w:p>
    <w:p>
      <w:pPr>
        <w:pStyle w:val="Normal"/>
        <w:spacing w:lineRule="auto" w:line="360"/>
        <w:ind w:firstLine="720" w:start="864" w:end="0"/>
        <w:rPr/>
      </w:pPr>
      <w:r>
        <w:rPr/>
        <w:t xml:space="preserve">The following are my comments and questions in response to Allegheny’s comments on enovate’s form Master Agreement.  I do not oppose any of the changes.  I consider items 1 and 6 to be business decisions. 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 xml:space="preserve">Secs. 3.2 and 3.4:  Allegheny proposed deleting the 15¢ add-on to the liquidated damages for failure to deliver or receive.  I consider this a business decision.  If enovate is concerned about non-performance by Allegheny, then it may wish to retain some amount of add-on.  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>Art. 4, Sec. 6.2, Sec. 8.6 and Appendix 1, Arbitration:  Allegheny proposed deleting the mandatory arbitration provision.  From Peoples’ perspective, I am indifferent on this proposal.  I will defer to the business people and Enron’s counsel for enovate’s response to this issue.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 xml:space="preserve">Art. 6:  Allegheny proposed a reciprocal indemnity (Sec. 6.1) related to tax liability and an obligation (Sec. 6.3) to provide, upon request, documentation related to any tax exemptions a party may claim.  I have no objection to either proposal.  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>Sec. 8.2:  Allegheny proposed that the standard for transfer/assignment of the Agreement be that consent not be unreasonably withheld, rather than allowing consent to be withheld at the other party’s option.  I prefer enovate’s formulation because it minimizes the potential for dispute, but I would be willing to accept Allegheny’s proposal.  It means that enovate must be prepared to support any decision to reject a requested transfer/assignment of the agreement.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>Sec. 8.5:  Allegheny proposed New York in place of Illinois law, and I do not oppose that change.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>App. 1, Confirm Deadline:  Allegheny proposed a 48 hour, rather than 24 hour, deadline.  I consider this a business decision.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360"/>
        <w:ind w:hanging="0" w:start="1008" w:end="0"/>
        <w:rPr/>
      </w:pPr>
      <w:r>
        <w:rPr/>
        <w:t>App. 1, Audit Rights:  Allegheny proposed modifying the audit rights section to require written notice and adding “business” to modify the times at which the audit can occur (“reasonable business times”).  I do not oppose the changes.</w:t>
      </w:r>
    </w:p>
    <w:p>
      <w:pPr>
        <w:pStyle w:val="Normal"/>
        <w:spacing w:lineRule="auto" w:line="360"/>
        <w:ind w:start="1008" w:end="0"/>
        <w:rPr/>
      </w:pPr>
      <w:r>
        <w:rPr/>
      </w:r>
    </w:p>
    <w:sectPr>
      <w:headerReference w:type="default" r:id="rId4"/>
      <w:headerReference w:type="first" r:id="rId5"/>
      <w:type w:val="nextPage"/>
      <w:pgSz w:w="12240" w:h="15840"/>
      <w:pgMar w:left="720" w:right="1440" w:gutter="0" w:header="706" w:top="1440" w:footer="0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PRIVILEGED AND CONFIDENTIAL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716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95pt;mso-wrap-distance-left:0pt;mso-wrap-distance-right:0pt;mso-wrap-distance-top:0pt;mso-wrap-distance-bottom:0pt;margin-top:0.05pt;mso-position-vertical-relative:text;margin-left:248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jc w:val="cen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spacing w:lineRule="auto" w:line="480"/>
      <w:ind w:firstLine="864" w:start="72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spacing w:lineRule="auto" w:line="360"/>
      <w:ind w:firstLine="864" w:start="720" w:end="0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spacing w:lineRule="auto" w:line="360"/>
      <w:ind w:firstLine="720" w:start="864" w:end="0"/>
      <w:outlineLvl w:val="8"/>
    </w:pPr>
    <w:rPr>
      <w:rFonts w:ascii="Arial" w:hAnsi="Arial" w:cs="Arial"/>
      <w:b/>
      <w:color w:val="000000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/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Wingdings" w:hAnsi="Wingdings" w:cs="Wingdings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b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Arial" w:hAnsi="Arial" w:cs="Arial"/>
      <w:b w:val="false"/>
      <w:i w:val="false"/>
      <w:sz w:val="24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Wingdings" w:hAnsi="Wingdings" w:cs="Wingdings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9z0">
    <w:name w:val="WW8Num99z0"/>
    <w:qFormat/>
    <w:rPr>
      <w:rFonts w:ascii="Wingdings" w:hAnsi="Wingdings" w:cs="Wingdings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Wingdings" w:hAnsi="Wingdings" w:cs="Wingdings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9z0">
    <w:name w:val="WW8Num109z0"/>
    <w:qFormat/>
    <w:rPr>
      <w:rFonts w:ascii="Wingdings" w:hAnsi="Wingdings" w:cs="Wingdings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Wingdings" w:hAnsi="Wingdings" w:cs="Wingdings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5z0">
    <w:name w:val="WW8Num115z0"/>
    <w:qFormat/>
    <w:rPr>
      <w:rFonts w:ascii="Wingdings" w:hAnsi="Wingdings" w:cs="Wingdings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9z0">
    <w:name w:val="WW8Num119z0"/>
    <w:qFormat/>
    <w:rPr/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/>
  </w:style>
  <w:style w:type="character" w:styleId="WW8Num123z0">
    <w:name w:val="WW8Num123z0"/>
    <w:qFormat/>
    <w:rPr>
      <w:rFonts w:ascii="Wingdings" w:hAnsi="Wingdings" w:cs="Wingdings"/>
    </w:rPr>
  </w:style>
  <w:style w:type="character" w:styleId="WW8Num124z0">
    <w:name w:val="WW8Num124z0"/>
    <w:qFormat/>
    <w:rPr>
      <w:rFonts w:ascii="Wingdings" w:hAnsi="Wingdings" w:cs="Wingdings"/>
    </w:rPr>
  </w:style>
  <w:style w:type="character" w:styleId="WW8Num125z0">
    <w:name w:val="WW8Num125z0"/>
    <w:qFormat/>
    <w:rPr/>
  </w:style>
  <w:style w:type="character" w:styleId="WW8Num127z0">
    <w:name w:val="WW8Num127z0"/>
    <w:qFormat/>
    <w:rPr>
      <w:rFonts w:ascii="Wingdings" w:hAnsi="Wingdings" w:cs="Wingdings"/>
    </w:rPr>
  </w:style>
  <w:style w:type="character" w:styleId="WW8Num128z0">
    <w:name w:val="WW8Num128z0"/>
    <w:qFormat/>
    <w:rPr>
      <w:rFonts w:ascii="Wingdings" w:hAnsi="Wingdings" w:cs="Wingdings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/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Wingdings" w:hAnsi="Wingdings" w:cs="Wingdings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6z0">
    <w:name w:val="WW8Num136z0"/>
    <w:qFormat/>
    <w:rPr/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/>
  </w:style>
  <w:style w:type="character" w:styleId="WW8Num150z0">
    <w:name w:val="WW8Num150z0"/>
    <w:qFormat/>
    <w:rPr/>
  </w:style>
  <w:style w:type="character" w:styleId="WW8Num152z0">
    <w:name w:val="WW8Num15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0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lineRule="auto" w:line="360"/>
      <w:ind w:firstLine="720" w:start="864" w:end="0"/>
    </w:pPr>
    <w:rPr>
      <w:rFonts w:ascii="Arial" w:hAnsi="Arial" w:cs="Arial"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uto" w:line="480"/>
      <w:ind w:firstLine="1166" w:start="994" w:end="0"/>
    </w:pPr>
    <w:rPr>
      <w:rFonts w:ascii="Arial" w:hAnsi="Arial" w:cs="Arial"/>
      <w:sz w:val="24"/>
    </w:rPr>
  </w:style>
  <w:style w:type="paragraph" w:styleId="FootnoteText">
    <w:name w:val="footnote text"/>
    <w:basedOn w:val="Normal"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BodyTextIndent2">
    <w:name w:val="Body Text Indent 2"/>
    <w:basedOn w:val="Normal"/>
    <w:qFormat/>
    <w:pPr>
      <w:spacing w:lineRule="auto" w:line="360"/>
      <w:ind w:firstLine="720" w:start="720" w:end="0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qFormat/>
    <w:pPr>
      <w:ind w:firstLine="720" w:start="720" w:end="0"/>
    </w:pPr>
    <w:rPr>
      <w:rFonts w:ascii="Arial" w:hAnsi="Arial" w:cs="Arial"/>
      <w:sz w:val="24"/>
    </w:rPr>
  </w:style>
  <w:style w:type="paragraph" w:styleId="BlockText">
    <w:name w:val="Block Text"/>
    <w:basedOn w:val="Normal"/>
    <w:qFormat/>
    <w:pPr>
      <w:tabs>
        <w:tab w:val="clear" w:pos="720"/>
        <w:tab w:val="left" w:pos="-720" w:leader="none"/>
      </w:tabs>
      <w:ind w:hanging="0" w:start="1440" w:end="1872"/>
      <w:jc w:val="both"/>
    </w:pPr>
    <w:rPr>
      <w:rFonts w:ascii="Arial" w:hAnsi="Arial" w:cs="Arial"/>
      <w:sz w:val="24"/>
    </w:rPr>
  </w:style>
  <w:style w:type="paragraph" w:styleId="NumberList">
    <w:name w:val="Number List"/>
    <w:next w:val="BodyText"/>
    <w:qFormat/>
    <w:pPr>
      <w:widowControl/>
      <w:bidi w:val="0"/>
      <w:spacing w:lineRule="atLeast" w:line="480" w:before="144" w:after="144"/>
      <w:ind w:firstLine="1440" w:start="0" w:end="0"/>
    </w:pPr>
    <w:rPr>
      <w:rFonts w:ascii="Arial" w:hAnsi="Arial" w:eastAsia="Times New Roman" w:cs="Arial"/>
      <w:color w:val="000000"/>
      <w:sz w:val="24"/>
      <w:szCs w:val="20"/>
      <w:lang w:val="en-US" w:eastAsia="en-US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LOGO MEMOForm 0832.dot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2001-04-10T17:23:00Z</dcterms:created>
  <dc:creator>BROWA</dc:creator>
  <dc:description/>
  <cp:keywords>memo</cp:keywords>
  <dc:language>en-CA</dc:language>
  <cp:lastModifiedBy>KLYAS</cp:lastModifiedBy>
  <cp:lastPrinted>2001-04-10T06:55:00Z</cp:lastPrinted>
  <dcterms:modified xsi:type="dcterms:W3CDTF">2001-04-10T18:49:00Z</dcterms:modified>
  <cp:revision>9</cp:revision>
  <dc:subject>Interdepartmental Correspondence</dc:subject>
  <dc:title>Form 0823</dc:title>
</cp:coreProperties>
</file>