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 xml:space="preserve">DRAFT OF </w:t>
      </w:r>
      <w:ins w:id="0" w:author="sshackl" w:date="2001-04-11T14:42:00Z">
        <w:r>
          <w:rPr/>
          <w:t>04/11/01</w:t>
        </w:r>
      </w:ins>
      <w:del w:id="1" w:author="sshackl" w:date="2001-04-11T14:42:00Z">
        <w:r>
          <w:rPr/>
          <w:delText>03/30/2001</w:delText>
        </w:r>
      </w:del>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w:t>
      </w:r>
      <w:ins w:id="2" w:author="sshackl" w:date="2001-04-11T14:43:00Z">
        <w:r>
          <w:rPr>
            <w:sz w:val="22"/>
          </w:rPr>
          <w:t xml:space="preserve"> none</w:t>
        </w:r>
      </w:ins>
      <w:r>
        <w:rPr>
          <w:sz w:val="22"/>
        </w:rPr>
        <w:t>;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w:t>
      </w:r>
      <w:ins w:id="3" w:author="sshackl" w:date="2001-04-11T14:43:00Z">
        <w:r>
          <w:rPr>
            <w:sz w:val="22"/>
          </w:rPr>
          <w:t>such</w:t>
        </w:r>
      </w:ins>
      <w:r>
        <w:rPr>
          <w:sz w:val="22"/>
        </w:rPr>
        <w:t xml:space="preserve">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pPr>
      <w:r>
        <w:rPr>
          <w:sz w:val="22"/>
        </w:rPr>
        <w:t>(c)</w:t>
        <w:tab/>
      </w:r>
      <w:r>
        <w:rPr>
          <w:b/>
          <w:sz w:val="22"/>
        </w:rPr>
        <w:t>Calculation Agent.</w:t>
      </w:r>
      <w:r>
        <w:rPr>
          <w:sz w:val="22"/>
        </w:rPr>
        <w:t xml:space="preserve">  The Calculation Agent is Party A; </w:t>
      </w:r>
      <w:ins w:id="4" w:author="sshackl" w:date="2001-04-11T14:44:00Z">
        <w:r>
          <w:rPr>
            <w:sz w:val="22"/>
          </w:rPr>
          <w:t>unless otherwise specified in a Confirmation in relation to the relevant Transaction</w:t>
        </w:r>
      </w:ins>
      <w:del w:id="5" w:author="sshackl" w:date="2001-04-11T14:45:00Z">
        <w:r>
          <w:rPr>
            <w:sz w:val="22"/>
          </w:rPr>
          <w:delText>provided, however, that</w:delText>
        </w:r>
      </w:del>
      <w:del w:id="6" w:author="sshackl" w:date="2001-04-11T14:45:00Z">
        <w:r>
          <w:rPr>
            <w:b/>
            <w:sz w:val="22"/>
          </w:rPr>
          <w:delText xml:space="preserve"> </w:delText>
        </w:r>
      </w:del>
      <w:del w:id="7" w:author="sshackl" w:date="2001-04-11T14:45:00Z">
        <w:r>
          <w:rPr>
            <w:sz w:val="22"/>
          </w:rPr>
          <w:delText>all calculations and determinations hereunder shall be subject to the review and agreement of Party B and, in the event of a dispute on any calculation, the Parties shall use reasonable efforts to resolve such dispute expeditiously concerning such calculations and determinations.  If Party A and Party B cannot agree on how to resolve the dispute, then they agree to appoint promptly four Commodity Reference Dealers as defined in the 1993 Commodities Definitions in the relevant market, each to make the relevant calculation or determination, and the final calculation shall be the mean of the calculations of such dealers. Provided, however, that if fewer than four dealers are found, then the final calculation shall be the mean as determined by such number of dealers as are used for such determination.  The calculation a determination reached by such dealers will be conclusive and binding absent manifest error</w:delText>
        </w:r>
      </w:del>
      <w:r>
        <w:rPr>
          <w:sz w:val="22"/>
        </w:rPr>
        <w:t xml:space="preserve">. </w:t>
      </w:r>
    </w:p>
    <w:p>
      <w:pPr>
        <w:pStyle w:val="Normal"/>
        <w:spacing w:lineRule="exact" w:line="240" w:before="240" w:after="0"/>
        <w:ind w:firstLine="720" w:end="0"/>
        <w:jc w:val="both"/>
        <w:rPr>
          <w:b/>
          <w:sz w:val="22"/>
        </w:rPr>
      </w:pPr>
      <w:r>
        <w:rPr>
          <w:b/>
          <w:sz w:val="22"/>
        </w:rPr>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b/>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del w:id="8" w:author="sshackl" w:date="2001-04-11T14:45:00Z">
        <w:r>
          <w:rPr>
            <w:b/>
            <w:sz w:val="22"/>
          </w:rPr>
          <w:delText>[</w:delText>
        </w:r>
      </w:del>
      <w:r>
        <w:rPr>
          <w:sz w:val="22"/>
        </w:rPr>
        <w:t>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del w:id="9" w:author="sshackl" w:date="2001-04-11T14:46:00Z">
        <w:r>
          <w:rPr>
            <w:b/>
            <w:sz w:val="22"/>
          </w:rPr>
          <w:delText xml:space="preserve">  Sara, we would like to have conflicting confirms be deemed agreed to for the non-conflicting terms and in dispute for the conflicting terms.  IS that ok?</w:delText>
        </w:r>
      </w:del>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Subsections (c)</w:t>
      </w:r>
      <w:del w:id="10" w:author="sshackl" w:date="2001-04-11T14:46:00Z">
        <w:r>
          <w:rPr>
            <w:sz w:val="22"/>
          </w:rPr>
          <w:delText xml:space="preserve"> and (d)</w:delText>
        </w:r>
      </w:del>
      <w:r>
        <w:rPr>
          <w:sz w:val="22"/>
        </w:rPr>
        <w:t>:</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ins w:id="11" w:author="sshackl" w:date="2001-04-11T14:47:00Z">
        <w:r>
          <w:rPr>
            <w:sz w:val="22"/>
          </w:rPr>
          <w:t>”</w:t>
        </w:r>
      </w:ins>
    </w:p>
    <w:p>
      <w:pPr>
        <w:pStyle w:val="Normal"/>
        <w:keepNext w:val="true"/>
        <w:spacing w:lineRule="exact" w:line="240"/>
        <w:ind w:firstLine="720" w:start="720" w:end="0"/>
        <w:jc w:val="both"/>
        <w:rPr>
          <w:sz w:val="22"/>
        </w:rPr>
      </w:pPr>
      <w:r>
        <w:rPr>
          <w:sz w:val="22"/>
        </w:rPr>
      </w:r>
    </w:p>
    <w:p>
      <w:pPr>
        <w:pStyle w:val="Normal"/>
        <w:keepNext w:val="true"/>
        <w:spacing w:lineRule="exact" w:line="240"/>
        <w:ind w:firstLine="720" w:start="720" w:end="0"/>
        <w:jc w:val="both"/>
        <w:rPr>
          <w:sz w:val="22"/>
          <w:del w:id="14" w:author="sshackl" w:date="2001-04-11T14:47:00Z"/>
        </w:rPr>
      </w:pPr>
      <w:del w:id="12" w:author="sshackl" w:date="2001-04-11T14:47:00Z">
        <w:r>
          <w:rPr>
            <w:sz w:val="22"/>
          </w:rPr>
          <w:delText>“</w:delText>
        </w:r>
      </w:del>
      <w:del w:id="13" w:author="sshackl" w:date="2001-04-11T14:47:00Z">
        <w:r>
          <w:rPr>
            <w:sz w:val="22"/>
          </w:rPr>
          <w:delText xml:space="preserve">(d)  Party B may assign and delegate its rights and obligations under any or all Transactions to any affiliate of Party B provided such affiliate’s creditworthiness is equal to or greater than that of Party B.”  </w:delText>
        </w:r>
      </w:del>
    </w:p>
    <w:p>
      <w:pPr>
        <w:pStyle w:val="Normal"/>
        <w:keepNext w:val="true"/>
        <w:spacing w:lineRule="exact" w:line="240"/>
        <w:ind w:firstLine="720" w:start="720" w:end="0"/>
        <w:jc w:val="both"/>
        <w:rPr>
          <w:sz w:val="22"/>
          <w:ins w:id="16" w:author="sshackl" w:date="2001-04-11T14:47:00Z"/>
        </w:rPr>
      </w:pPr>
      <w:ins w:id="15" w:author="sshackl" w:date="2001-04-11T14:47:00Z">
        <w:r>
          <w:rPr>
            <w:sz w:val="22"/>
          </w:rPr>
        </w:r>
      </w:ins>
    </w:p>
    <w:p>
      <w:pPr>
        <w:pStyle w:val="Normal"/>
        <w:keepNext w:val="true"/>
        <w:spacing w:lineRule="exact" w:line="240"/>
        <w:ind w:firstLine="720" w:start="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sz w:val="22"/>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 provided however, that Party B may dispute any such valuations or calculations.</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w:t>
      </w:r>
      <w:del w:id="17" w:author="sshackl" w:date="2001-04-11T14:48:00Z">
        <w:r>
          <w:rPr>
            <w:sz w:val="22"/>
          </w:rPr>
          <w:delText xml:space="preserve">except that Paragraph 3(iv) shall be amended to read as follows:  “(i) the Pledgor’s Threshold” </w:delText>
        </w:r>
      </w:del>
      <w:r>
        <w:rPr>
          <w:sz w:val="22"/>
        </w:rPr>
        <w:t xml:space="preserve">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 provided that if the Credit Rating of a party falls below BBB- by S&amp;P or Baa3 by Moody’s, then the Independent Amount with respect to such party shall be $5,000,000 for so long as its Credit Rating remains below such levels.</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sz w:val="22"/>
        </w:rPr>
      </w:pPr>
      <w:r>
        <w:rPr>
          <w:sz w:val="22"/>
        </w:rPr>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/mnt/main-storage/datasets/enron-docs/doc/AlleghenyCPformacceptR1.DOC</w:t>
    </w:r>
    <w:r>
      <w:rPr>
        <w:rStyle w:val="PageNumber"/>
        <w:sz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/mnt/main-storage/datasets/enron-docs/doc/AlleghenyCPformacceptR1.DOC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/mnt/main-storage/datasets/enron-docs/doc/AlleghenyCPformacceptR1.DOC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/mnt/main-storage/datasets/enron-docs/doc/AlleghenyCPformacceptR1.DOC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2001-04-11T17:10:00Z</dcterms:created>
  <dc:creator>mheard</dc:creator>
  <dc:description/>
  <dc:language>en-CA</dc:language>
  <cp:lastModifiedBy>sshackl</cp:lastModifiedBy>
  <cp:lastPrinted>2001-04-11T14:48:00Z</cp:lastPrinted>
  <dcterms:modified xsi:type="dcterms:W3CDTF">2001-04-11T17:19:00Z</dcterms:modified>
  <cp:revision>7</cp:revision>
  <dc:subject/>
  <dc:title>ISDA Multicurrency Agreement</dc:title>
</cp:coreProperties>
</file>