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3548380" cy="10668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 t="-31" r="-9" b="-31"/>
                    <a:stretch>
                      <a:fillRect/>
                    </a:stretch>
                  </pic:blipFill>
                  <pic:spPr bwMode="auto">
                    <a:xfrm>
                      <a:off x="0" y="0"/>
                      <a:ext cx="3548380" cy="1066800"/>
                    </a:xfrm>
                    <a:prstGeom prst="rect">
                      <a:avLst/>
                    </a:prstGeom>
                    <a:noFill/>
                  </pic:spPr>
                </pic:pic>
              </a:graphicData>
            </a:graphic>
          </wp:inline>
        </w:drawing>
      </w:r>
    </w:p>
    <w:p>
      <w:pPr>
        <w:pStyle w:val="Heading"/>
        <w:rPr/>
      </w:pPr>
      <w:r>
        <w:rPr/>
      </w:r>
    </w:p>
    <w:p>
      <w:pPr>
        <w:pStyle w:val="Heading"/>
        <w:rPr/>
      </w:pPr>
      <w:r>
        <w:rPr/>
        <w:t>METHODOLOGY FOR THE TRADERSNEWS HOURLY INDEXES</w:t>
      </w:r>
    </w:p>
    <w:p>
      <w:pPr>
        <w:pStyle w:val="Heading"/>
        <w:rPr/>
      </w:pPr>
      <w:r>
        <w:rPr/>
        <w:t>(rev. 7/5/01)</w:t>
      </w:r>
    </w:p>
    <w:p>
      <w:pPr>
        <w:pStyle w:val="Heading"/>
        <w:rPr/>
      </w:pPr>
      <w:r>
        <w:rPr/>
      </w:r>
    </w:p>
    <w:p>
      <w:pPr>
        <w:pStyle w:val="Normal"/>
        <w:rPr/>
      </w:pPr>
      <w:r>
        <w:rPr>
          <w:rFonts w:cs="Tahoma" w:ascii="Tahoma" w:hAnsi="Tahoma"/>
        </w:rPr>
        <w:t>The TradersNews Hourly Indexes list the range and weighted average price of physical trades done for each hour. Participants in the indexes are wholesale power trading entities, including u</w:t>
      </w:r>
      <w:r>
        <w:rPr>
          <w:rFonts w:cs="Tahoma" w:ascii="Tahoma" w:hAnsi="Tahoma"/>
          <w:szCs w:val="20"/>
        </w:rPr>
        <w:t>tilities, marketers, IPPs, co-ops, and federal, state and municipal power agencies. Trades are collected b</w:t>
      </w:r>
      <w:r>
        <w:rPr>
          <w:rFonts w:cs="Tahoma" w:ascii="Tahoma" w:hAnsi="Tahoma"/>
        </w:rPr>
        <w:t>y telephone, fax or e-mail.</w:t>
      </w:r>
      <w:r>
        <w:rPr>
          <w:b/>
          <w:bCs/>
        </w:rPr>
        <w:t xml:space="preserve"> </w:t>
      </w:r>
    </w:p>
    <w:p>
      <w:pPr>
        <w:pStyle w:val="Normal"/>
        <w:rPr>
          <w:b/>
          <w:bCs/>
        </w:rPr>
      </w:pPr>
      <w:r>
        <w:rPr>
          <w:b/>
          <w:bCs/>
        </w:rPr>
      </w:r>
    </w:p>
    <w:p>
      <w:pPr>
        <w:pStyle w:val="Normal"/>
        <w:rPr>
          <w:rFonts w:ascii="Tahoma" w:hAnsi="Tahoma" w:cs="Tahoma"/>
        </w:rPr>
      </w:pPr>
      <w:r>
        <w:rPr>
          <w:rFonts w:cs="Tahoma" w:ascii="Tahoma" w:hAnsi="Tahoma"/>
        </w:rPr>
        <w:t>Trades are classified based on where the power is generated (the source) and where it is consumed (the sink). Thus trades between neighboring regions should be included in more than one index.</w:t>
      </w:r>
    </w:p>
    <w:p>
      <w:pPr>
        <w:pStyle w:val="Normal"/>
        <w:rPr>
          <w:rFonts w:ascii="Tahoma" w:hAnsi="Tahoma" w:cs="Tahoma"/>
        </w:rPr>
      </w:pPr>
      <w:r>
        <w:rPr>
          <w:rFonts w:cs="Tahoma" w:ascii="Tahoma" w:hAnsi="Tahoma"/>
        </w:rPr>
      </w:r>
    </w:p>
    <w:p>
      <w:pPr>
        <w:pStyle w:val="Normal"/>
        <w:pBdr>
          <w:top w:val="single" w:sz="4" w:space="1" w:color="000000"/>
          <w:left w:val="single" w:sz="4" w:space="4" w:color="000000"/>
          <w:bottom w:val="single" w:sz="4" w:space="1" w:color="000000"/>
          <w:right w:val="single" w:sz="4" w:space="4" w:color="000000"/>
        </w:pBdr>
        <w:rPr>
          <w:rFonts w:ascii="Tahoma" w:hAnsi="Tahoma" w:cs="Tahoma"/>
        </w:rPr>
      </w:pPr>
      <w:r>
        <w:rPr>
          <w:rFonts w:cs="Tahoma" w:ascii="Tahoma" w:hAnsi="Tahoma"/>
        </w:rPr>
        <w:t xml:space="preserve">Example: </w:t>
      </w:r>
    </w:p>
    <w:p>
      <w:pPr>
        <w:pStyle w:val="Normal"/>
        <w:pBdr>
          <w:top w:val="single" w:sz="4" w:space="1" w:color="000000"/>
          <w:left w:val="single" w:sz="4" w:space="4" w:color="000000"/>
          <w:bottom w:val="single" w:sz="4" w:space="1" w:color="000000"/>
          <w:right w:val="single" w:sz="4" w:space="4" w:color="000000"/>
        </w:pBdr>
        <w:rPr>
          <w:rFonts w:ascii="Tahoma" w:hAnsi="Tahoma" w:cs="Tahoma"/>
        </w:rPr>
      </w:pPr>
      <w:r>
        <w:rPr>
          <w:rFonts w:cs="Tahoma" w:ascii="Tahoma" w:hAnsi="Tahoma"/>
        </w:rPr>
        <w:t xml:space="preserve">For hour ending 9, marketer US Energy buys 50 megawatts from ComEd (source: MAIN) @ $20, wheels it through Ameren, and sells to TVA (sink:SERC) @ $26.50. </w:t>
      </w:r>
    </w:p>
    <w:p>
      <w:pPr>
        <w:pStyle w:val="Normal"/>
        <w:pBdr>
          <w:top w:val="single" w:sz="4" w:space="1" w:color="000000"/>
          <w:left w:val="single" w:sz="4" w:space="4" w:color="000000"/>
          <w:bottom w:val="single" w:sz="4" w:space="1" w:color="000000"/>
          <w:right w:val="single" w:sz="4" w:space="4" w:color="000000"/>
        </w:pBdr>
        <w:jc w:val="center"/>
        <w:rPr>
          <w:rFonts w:ascii="Tahoma" w:hAnsi="Tahoma" w:cs="Tahoma"/>
        </w:rPr>
      </w:pPr>
      <w:r>
        <w:rPr>
          <w:rFonts w:cs="Tahoma" w:ascii="Tahoma" w:hAnsi="Tahoma"/>
        </w:rPr>
        <w:t>The trade should be reported as:</w:t>
      </w:r>
    </w:p>
    <w:p>
      <w:pPr>
        <w:pStyle w:val="Normal"/>
        <w:pBdr>
          <w:top w:val="single" w:sz="4" w:space="1" w:color="000000"/>
          <w:left w:val="single" w:sz="4" w:space="4" w:color="000000"/>
          <w:bottom w:val="single" w:sz="4" w:space="1" w:color="000000"/>
          <w:right w:val="single" w:sz="4" w:space="4" w:color="000000"/>
        </w:pBdr>
        <w:rPr/>
      </w:pPr>
      <w:r>
        <w:rPr>
          <w:rFonts w:cs="Tahoma" w:ascii="Tahoma" w:hAnsi="Tahoma"/>
          <w:b/>
          <w:bCs/>
        </w:rPr>
        <w:t>MAIN index:</w:t>
      </w:r>
      <w:r>
        <w:rPr>
          <w:rFonts w:cs="Tahoma" w:ascii="Tahoma" w:hAnsi="Tahoma"/>
        </w:rPr>
        <w:t xml:space="preserve"> 50 mwh @ $20                          </w:t>
      </w:r>
      <w:r>
        <w:rPr>
          <w:rFonts w:cs="Tahoma" w:ascii="Tahoma" w:hAnsi="Tahoma"/>
          <w:b/>
          <w:bCs/>
        </w:rPr>
        <w:t xml:space="preserve">SERC index: </w:t>
      </w:r>
      <w:r>
        <w:rPr>
          <w:rFonts w:cs="Tahoma" w:ascii="Tahoma" w:hAnsi="Tahoma"/>
        </w:rPr>
        <w:t xml:space="preserve">50 mwh @ $26.50 </w:t>
      </w:r>
    </w:p>
    <w:p>
      <w:pPr>
        <w:pStyle w:val="Normal"/>
        <w:pBdr>
          <w:top w:val="single" w:sz="4" w:space="1" w:color="000000"/>
          <w:left w:val="single" w:sz="4" w:space="4" w:color="000000"/>
          <w:bottom w:val="single" w:sz="4" w:space="1" w:color="000000"/>
          <w:right w:val="single" w:sz="4" w:space="4" w:color="000000"/>
        </w:pBdr>
        <w:rPr>
          <w:rFonts w:ascii="Tahoma" w:hAnsi="Tahoma" w:cs="Tahoma"/>
        </w:rPr>
      </w:pPr>
      <w:r>
        <w:rPr>
          <w:rFonts w:cs="Tahoma" w:ascii="Tahoma" w:hAnsi="Tahoma"/>
        </w:rPr>
      </w:r>
    </w:p>
    <w:p>
      <w:pPr>
        <w:pStyle w:val="Heading1"/>
        <w:ind w:hanging="0" w:start="0"/>
        <w:rPr>
          <w:rFonts w:ascii="Tahoma" w:hAnsi="Tahoma" w:cs="Tahoma"/>
        </w:rPr>
      </w:pPr>
      <w:r>
        <w:rPr>
          <w:rFonts w:cs="Tahoma"/>
        </w:rPr>
      </w:r>
    </w:p>
    <w:p>
      <w:pPr>
        <w:pStyle w:val="Heading1"/>
        <w:ind w:hanging="0" w:start="0"/>
        <w:rPr/>
      </w:pPr>
      <w:r>
        <w:rPr/>
        <w:t xml:space="preserve">Hours used — </w:t>
      </w:r>
      <w:r>
        <w:rPr>
          <w:b w:val="false"/>
          <w:bCs w:val="false"/>
        </w:rPr>
        <w:t>On Peak Trades:</w:t>
      </w:r>
      <w:r>
        <w:rPr/>
        <w:t xml:space="preserve"> </w:t>
      </w:r>
      <w:r>
        <w:rPr>
          <w:b w:val="false"/>
          <w:bCs w:val="false"/>
        </w:rPr>
        <w:t>Hours ending 7 through 22, Monday-Friday</w:t>
      </w:r>
    </w:p>
    <w:p>
      <w:pPr>
        <w:pStyle w:val="Heading1"/>
        <w:ind w:hanging="0" w:start="0"/>
        <w:rPr/>
      </w:pPr>
      <w:r>
        <w:rPr>
          <w:b w:val="false"/>
          <w:bCs w:val="false"/>
        </w:rPr>
        <w:t xml:space="preserve">excluding NERC holidays. </w:t>
      </w:r>
      <w:r>
        <w:rPr>
          <w:rFonts w:cs="Courier New"/>
          <w:b w:val="false"/>
          <w:bCs w:val="false"/>
        </w:rPr>
        <w:t xml:space="preserve">All times are Central Prevailing Time (CPT). </w:t>
      </w:r>
    </w:p>
    <w:p>
      <w:pPr>
        <w:pStyle w:val="Heading1"/>
        <w:ind w:hanging="0" w:start="0"/>
        <w:rPr>
          <w:rFonts w:cs="Courier New"/>
          <w:b w:val="false"/>
          <w:bCs w:val="false"/>
        </w:rPr>
      </w:pPr>
      <w:r>
        <w:rPr>
          <w:rFonts w:cs="Courier New"/>
          <w:b w:val="false"/>
          <w:bCs w:val="false"/>
        </w:rPr>
      </w:r>
    </w:p>
    <w:p>
      <w:pPr>
        <w:pStyle w:val="Heading1"/>
        <w:ind w:hanging="0" w:start="0"/>
        <w:rPr/>
      </w:pPr>
      <w:r>
        <w:rPr/>
        <w:t xml:space="preserve">Prices used — </w:t>
      </w:r>
      <w:r>
        <w:rPr>
          <w:b w:val="false"/>
          <w:bCs w:val="false"/>
        </w:rPr>
        <w:t xml:space="preserve">Trades may be either purchases or sales of physical power, as long as the source or sink is in one of the regions defined below. </w:t>
      </w:r>
      <w:r>
        <w:rPr>
          <w:rFonts w:cs="Courier New"/>
          <w:b w:val="false"/>
          <w:bCs w:val="false"/>
        </w:rPr>
        <w:t xml:space="preserve">Neither balance-of-the-day schedules nor hourly pre-schedules will be used for the index. </w:t>
      </w:r>
      <w:r>
        <w:rPr>
          <w:b w:val="false"/>
          <w:bCs w:val="false"/>
        </w:rPr>
        <w:t>Participants who aggregate their trades for each hour should provide at least a weighted average, volume and absolute range for each hour. A TradersNews template is available for participants’ convenience and accuracy.</w:t>
      </w:r>
    </w:p>
    <w:p>
      <w:pPr>
        <w:pStyle w:val="Normal"/>
        <w:rPr>
          <w:rFonts w:ascii="Tahoma" w:hAnsi="Tahoma" w:cs="Tahoma"/>
        </w:rPr>
      </w:pPr>
      <w:r>
        <w:rPr>
          <w:rFonts w:cs="Tahoma" w:ascii="Tahoma" w:hAnsi="Tahoma"/>
        </w:rPr>
        <w:tab/>
      </w:r>
    </w:p>
    <w:p>
      <w:pPr>
        <w:pStyle w:val="Normal"/>
        <w:rPr/>
      </w:pPr>
      <w:r>
        <w:rPr>
          <w:rFonts w:cs="Tahoma" w:ascii="Tahoma" w:hAnsi="Tahoma"/>
          <w:b/>
          <w:bCs/>
        </w:rPr>
        <w:t xml:space="preserve">Volumes used </w:t>
      </w:r>
      <w:r>
        <w:rPr>
          <w:b/>
          <w:bCs/>
        </w:rPr>
        <w:t xml:space="preserve">— </w:t>
      </w:r>
      <w:r>
        <w:rPr>
          <w:rFonts w:cs="Tahoma" w:ascii="Tahoma" w:hAnsi="Tahoma"/>
        </w:rPr>
        <w:t>We require volumes for deals done to ensure an accurate weighted-average price.</w:t>
      </w:r>
      <w:r>
        <w:rPr>
          <w:b/>
          <w:bCs/>
        </w:rPr>
        <w:t xml:space="preserve"> </w:t>
      </w:r>
      <w:r>
        <w:rPr>
          <w:rFonts w:cs="Tahoma" w:ascii="Tahoma" w:hAnsi="Tahoma"/>
        </w:rPr>
        <w:t>The weighted-average index for the day factors in the volume done for each on-peak hour that actually traded; no weight is given to hours that reflect indicative prices.</w:t>
      </w:r>
    </w:p>
    <w:p>
      <w:pPr>
        <w:pStyle w:val="Normal"/>
        <w:rPr>
          <w:rFonts w:ascii="Tahoma" w:hAnsi="Tahoma" w:cs="Tahoma"/>
        </w:rPr>
      </w:pPr>
      <w:r>
        <w:rPr>
          <w:rFonts w:cs="Tahoma" w:ascii="Tahoma" w:hAnsi="Tahoma"/>
        </w:rPr>
      </w:r>
    </w:p>
    <w:p>
      <w:pPr>
        <w:pStyle w:val="Heading1"/>
        <w:ind w:hanging="0" w:start="0"/>
        <w:rPr/>
      </w:pPr>
      <w:r>
        <w:rPr/>
        <w:t xml:space="preserve">Indicative pricing — </w:t>
      </w:r>
      <w:r>
        <w:rPr>
          <w:b w:val="false"/>
          <w:bCs w:val="false"/>
        </w:rPr>
        <w:t>If there are no trades reported for a given hour, indicative pricing is provided. Bid-ask spreads are obtained from multiple sources. The indicative prices reported represent the tightest bid/ask spread  reported for that hour. The weighted average for an hour denoted by indicative pricing is the average of the bid/ask spread.</w:t>
      </w:r>
    </w:p>
    <w:p>
      <w:pPr>
        <w:pStyle w:val="Normal"/>
        <w:rPr>
          <w:rFonts w:ascii="Tahoma" w:hAnsi="Tahoma" w:cs="Courier New"/>
        </w:rPr>
      </w:pPr>
      <w:r>
        <w:rPr/>
        <w:tab/>
      </w:r>
    </w:p>
    <w:p>
      <w:pPr>
        <w:pStyle w:val="Heading1"/>
        <w:ind w:hanging="0" w:start="0"/>
        <w:rPr/>
      </w:pPr>
      <w:r>
        <w:rPr/>
        <w:t xml:space="preserve">Outlying prices — </w:t>
      </w:r>
      <w:r>
        <w:rPr>
          <w:b w:val="false"/>
          <w:bCs w:val="false"/>
        </w:rPr>
        <w:t>Outlying prices will be verified.</w:t>
      </w:r>
      <w:r>
        <w:rPr/>
        <w:t xml:space="preserve"> </w:t>
      </w:r>
      <w:r>
        <w:rPr>
          <w:b w:val="false"/>
          <w:bCs w:val="false"/>
        </w:rPr>
        <w:t xml:space="preserve">While we keep all parties’  trades confidential, we may request proof a trade was done by checking sinks, transmission paths and/or obtaining the counterparty’s name. We reserve the right to exclude outlying prices from the index. </w:t>
      </w:r>
    </w:p>
    <w:p>
      <w:pPr>
        <w:pStyle w:val="Normal"/>
        <w:rPr/>
      </w:pPr>
      <w:r>
        <w:rPr/>
        <w:tab/>
      </w:r>
    </w:p>
    <w:p>
      <w:pPr>
        <w:pStyle w:val="Heading1"/>
        <w:ind w:hanging="0" w:start="0"/>
        <w:rPr/>
      </w:pPr>
      <w:r>
        <w:rPr>
          <w:rFonts w:cs="Arial"/>
          <w:color w:val="000000"/>
          <w:szCs w:val="20"/>
        </w:rPr>
        <w:t xml:space="preserve">TradersNews Index – </w:t>
      </w:r>
      <w:r>
        <w:rPr>
          <w:rFonts w:cs="Arial"/>
          <w:b w:val="false"/>
          <w:bCs w:val="false"/>
          <w:color w:val="000000"/>
          <w:szCs w:val="20"/>
        </w:rPr>
        <w:t>The TradersNews Index (TNI)</w:t>
      </w:r>
      <w:r>
        <w:rPr>
          <w:rFonts w:cs="Arial"/>
          <w:color w:val="000000"/>
          <w:szCs w:val="20"/>
        </w:rPr>
        <w:t xml:space="preserve"> </w:t>
      </w:r>
      <w:r>
        <w:rPr>
          <w:rFonts w:cs="Arial"/>
          <w:b w:val="false"/>
          <w:bCs w:val="false"/>
          <w:color w:val="000000"/>
          <w:szCs w:val="20"/>
        </w:rPr>
        <w:t xml:space="preserve">for each region is a </w:t>
      </w:r>
      <w:r>
        <w:rPr>
          <w:b w:val="false"/>
          <w:bCs w:val="false"/>
        </w:rPr>
        <w:t>straight average of the weighted averages for each of the 16 on-peak hours for the day. The 4-Hour Averages are derived by dividing the sum of the weighted-average prices for each block by four.</w:t>
      </w:r>
    </w:p>
    <w:p>
      <w:pPr>
        <w:pStyle w:val="Normal"/>
        <w:rPr>
          <w:rFonts w:ascii="Tahoma" w:hAnsi="Tahoma" w:cs="Tahoma"/>
          <w:b/>
          <w:bCs/>
        </w:rPr>
      </w:pPr>
      <w:r>
        <w:rPr>
          <w:rFonts w:cs="Tahoma" w:ascii="Tahoma" w:hAnsi="Tahoma"/>
          <w:b/>
          <w:bCs/>
        </w:rPr>
      </w:r>
    </w:p>
    <w:p>
      <w:pPr>
        <w:pStyle w:val="BodyText2"/>
        <w:rPr>
          <w:rFonts w:ascii="Arial" w:hAnsi="Arial" w:cs="Arial"/>
          <w:b w:val="false"/>
          <w:bCs w:val="false"/>
          <w:sz w:val="32"/>
        </w:rPr>
      </w:pPr>
      <w:r>
        <w:rPr>
          <w:rFonts w:cs="Arial" w:ascii="Arial" w:hAnsi="Arial"/>
          <w:b w:val="false"/>
          <w:bCs w:val="false"/>
          <w:sz w:val="32"/>
        </w:rPr>
        <w:t>Sample Index Table</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Heading4"/>
              <w:ind w:hanging="0" w:start="0"/>
              <w:rPr/>
            </w:pPr>
            <w:r>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90.00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$ 110.00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475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color w:val="FF6600"/>
                <w:sz w:val="20"/>
                <w:szCs w:val="20"/>
              </w:rPr>
            </w:pPr>
            <w:r>
              <w:rPr>
                <w:rFonts w:eastAsia="Arial Unicode MS"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94.80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90.00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$ 110.00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375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color w:val="FF6600"/>
                <w:sz w:val="20"/>
                <w:szCs w:val="20"/>
              </w:rPr>
            </w:pPr>
            <w:r>
              <w:rPr>
                <w:rFonts w:eastAsia="Arial Unicode MS"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86.80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82.00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90.00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79.25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90.00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0"/>
              </w:rPr>
            </w:pPr>
            <w:r>
              <w:rPr>
                <w:rFonts w:cs="Arial" w:ascii="Arial" w:hAnsi="Arial"/>
                <w:b/>
                <w:bCs/>
                <w:sz w:val="22"/>
                <w:szCs w:val="20"/>
              </w:rPr>
              <w:t>$   87.71</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b/>
                <w:color w:val="FF6600"/>
                <w:sz w:val="20"/>
                <w:szCs w:val="20"/>
              </w:rPr>
            </w:pPr>
            <w:r>
              <w:rPr>
                <w:rFonts w:eastAsia="Arial Unicode MS"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59.42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475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b/>
                <w:color w:val="FF6600"/>
                <w:sz w:val="20"/>
                <w:szCs w:val="20"/>
              </w:rPr>
            </w:pPr>
            <w:r>
              <w:rPr>
                <w:rFonts w:eastAsia="Arial Unicode MS"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55.38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650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54.50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0"/>
              </w:rPr>
            </w:pPr>
            <w:r>
              <w:rPr>
                <w:rFonts w:cs="Arial" w:ascii="Arial" w:hAnsi="Arial"/>
                <w:b/>
                <w:bCs/>
                <w:sz w:val="22"/>
                <w:szCs w:val="20"/>
              </w:rPr>
              <w:t>$   57.95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52.18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444</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50.23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47.00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325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52.35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452</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76.03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252</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0"/>
              </w:rPr>
            </w:pPr>
            <w:r>
              <w:rPr>
                <w:rFonts w:cs="Arial" w:ascii="Arial" w:hAnsi="Arial"/>
                <w:b/>
                <w:bCs/>
                <w:sz w:val="22"/>
                <w:szCs w:val="20"/>
              </w:rPr>
              <w:t>$   57.70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83.98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85.00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502</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b/>
                <w:color w:val="FF6600"/>
                <w:sz w:val="20"/>
                <w:szCs w:val="20"/>
              </w:rPr>
            </w:pPr>
            <w:r>
              <w:rPr>
                <w:rFonts w:eastAsia="Arial Unicode MS"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color w:val="FF6600"/>
                <w:sz w:val="20"/>
                <w:szCs w:val="20"/>
              </w:rPr>
            </w:pPr>
            <w:r>
              <w:rPr>
                <w:rFonts w:cs="Arial" w:ascii="Arial" w:hAnsi="Arial"/>
                <w:b/>
                <w:color w:val="FF6600"/>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57.50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Cs/>
                <w:sz w:val="20"/>
                <w:szCs w:val="20"/>
              </w:rPr>
            </w:pPr>
            <w:r>
              <w:rPr>
                <w:rFonts w:eastAsia="Arial Unicode MS"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color w:val="FF6600"/>
                <w:sz w:val="20"/>
                <w:szCs w:val="20"/>
              </w:rPr>
            </w:pPr>
            <w:r>
              <w:rPr>
                <w:rFonts w:cs="Arial" w:ascii="Arial" w:hAnsi="Arial"/>
                <w:b/>
                <w:color w:val="FF6600"/>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47.00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54.00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0"/>
              </w:rPr>
            </w:pPr>
            <w:r>
              <w:rPr>
                <w:rFonts w:cs="Arial" w:ascii="Arial" w:hAnsi="Arial"/>
                <w:b/>
                <w:bCs/>
                <w:sz w:val="22"/>
                <w:szCs w:val="20"/>
              </w:rPr>
              <w:t>$   64.62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b/>
                <w:bCs/>
                <w:color w:val="FF6600"/>
                <w:sz w:val="20"/>
                <w:szCs w:val="20"/>
              </w:rPr>
            </w:pPr>
            <w:r>
              <w:rPr>
                <w:rFonts w:eastAsia="Arial Unicode MS"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2"/>
                <w:szCs w:val="20"/>
              </w:rPr>
              <w:t>TradersNews Index (TNI)</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67.00</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5,650</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rFonts w:ascii="Arial" w:hAnsi="Arial" w:cs="Arial"/>
        </w:rPr>
      </w:pPr>
      <w:r>
        <w:rPr>
          <w:rFonts w:cs="Arial" w:ascii="Arial" w:hAnsi="Arial"/>
        </w:rPr>
      </w:r>
    </w:p>
    <w:p>
      <w:pPr>
        <w:pStyle w:val="Normal"/>
        <w:rPr>
          <w:rFonts w:ascii="Tahoma" w:hAnsi="Tahoma" w:cs="Tahoma"/>
        </w:rPr>
      </w:pPr>
      <w:r>
        <w:rPr>
          <w:rFonts w:cs="Tahoma" w:ascii="Tahoma" w:hAnsi="Tahoma"/>
        </w:rPr>
      </w:r>
    </w:p>
    <w:tbl>
      <w:tblPr>
        <w:tblW w:w="5239" w:type="dxa"/>
        <w:jc w:val="start"/>
        <w:tblInd w:w="1699" w:type="dxa"/>
        <w:tblLayout w:type="fixed"/>
        <w:tblCellMar>
          <w:top w:w="0" w:type="dxa"/>
          <w:start w:w="108" w:type="dxa"/>
          <w:bottom w:w="0" w:type="dxa"/>
          <w:end w:w="108" w:type="dxa"/>
        </w:tblCellMar>
      </w:tblPr>
      <w:tblGrid>
        <w:gridCol w:w="4428"/>
        <w:gridCol w:w="811"/>
      </w:tblGrid>
      <w:tr>
        <w:trPr/>
        <w:tc>
          <w:tcPr>
            <w:tcW w:w="442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Index Definitions</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b/>
                <w:bCs/>
              </w:rPr>
            </w:pPr>
            <w:r>
              <w:rPr>
                <w:rFonts w:cs="Tahoma" w:ascii="Tahoma" w:hAnsi="Tahoma"/>
                <w:b/>
                <w:bCs/>
              </w:rPr>
              <w:t xml:space="preserve">Page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Cinergy/Southern ECAR</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3</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AEP/Northern ECAR</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4</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MAIN</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5</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Entergy/SPP</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6</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SERC</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7</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ERCOT</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8</w:t>
            </w:r>
          </w:p>
        </w:tc>
      </w:tr>
    </w:tbl>
    <w:p>
      <w:pPr>
        <w:pStyle w:val="Normal"/>
        <w:rPr>
          <w:rFonts w:ascii="Tahoma" w:hAnsi="Tahoma" w:cs="Tahoma"/>
        </w:rPr>
      </w:pPr>
      <w:r>
        <w:rPr>
          <w:rFonts w:cs="Tahoma" w:ascii="Tahoma" w:hAnsi="Tahoma"/>
        </w:rPr>
      </w:r>
    </w:p>
    <w:p>
      <w:pPr>
        <w:pStyle w:val="Normal"/>
        <w:rPr/>
      </w:pPr>
      <w:r>
        <w:rPr>
          <w:rFonts w:cs="Tahoma" w:ascii="Tahoma" w:hAnsi="Tahoma"/>
        </w:rPr>
        <w:t>For feedback or questions, contact TradersNews Energy at 713/647-8690, or tradersnewsindexes</w:t>
      </w:r>
      <w:hyperlink r:id="rId3">
        <w:r>
          <w:rPr>
            <w:rStyle w:val="Hyperlink"/>
            <w:rFonts w:cs="Tahoma" w:ascii="Tahoma" w:hAnsi="Tahoma"/>
          </w:rPr>
          <w:t>@ipgdirect.com</w:t>
        </w:r>
      </w:hyperlink>
      <w:r>
        <w:rPr>
          <w:rFonts w:cs="Tahoma" w:ascii="Tahoma" w:hAnsi="Tahoma"/>
        </w:rPr>
        <w:t>.</w:t>
      </w:r>
      <w:r>
        <w:br w:type="page"/>
      </w:r>
    </w:p>
    <w:p>
      <w:pPr>
        <w:pStyle w:val="Normal"/>
        <w:rPr/>
      </w:pPr>
      <w:r>
        <w:rPr>
          <w:rFonts w:cs="Tahoma" w:ascii="Tahoma" w:hAnsi="Tahoma"/>
          <w:b/>
          <w:bCs/>
        </w:rPr>
        <w:t xml:space="preserve">Definition of the Cinergy/Southern ECAR hourly index — </w:t>
      </w:r>
      <w:r>
        <w:rPr>
          <w:rFonts w:cs="Tahoma" w:ascii="Tahoma" w:hAnsi="Tahoma"/>
        </w:rPr>
        <w:t>All hourly trades for power generated from, or sinking into, the Southern portion of the ECAR (East Central Area Reliability Council) NERC region. Includes merchant generating plants in the region, as well as the following control areas:</w:t>
      </w:r>
    </w:p>
    <w:p>
      <w:pPr>
        <w:pStyle w:val="Normal"/>
        <w:rPr>
          <w:rFonts w:ascii="Tahoma" w:hAnsi="Tahoma" w:cs="Tahoma"/>
        </w:rPr>
      </w:pPr>
      <w:r>
        <w:rPr>
          <w:rFonts w:cs="Tahoma" w:ascii="Tahoma" w:hAnsi="Tahoma"/>
        </w:rPr>
      </w:r>
    </w:p>
    <w:p>
      <w:pPr>
        <w:pStyle w:val="Normal"/>
        <w:numPr>
          <w:ilvl w:val="0"/>
          <w:numId w:val="9"/>
        </w:numPr>
        <w:rPr>
          <w:rFonts w:ascii="Tahoma" w:hAnsi="Tahoma" w:cs="Tahoma"/>
        </w:rPr>
      </w:pPr>
      <w:r>
        <w:rPr>
          <w:rFonts w:cs="Tahoma" w:ascii="Tahoma" w:hAnsi="Tahoma"/>
        </w:rPr>
        <w:t>Big Rivers Electric Corp.</w:t>
      </w:r>
    </w:p>
    <w:p>
      <w:pPr>
        <w:pStyle w:val="Normal"/>
        <w:numPr>
          <w:ilvl w:val="0"/>
          <w:numId w:val="9"/>
        </w:numPr>
        <w:rPr>
          <w:rFonts w:ascii="Tahoma" w:hAnsi="Tahoma" w:cs="Tahoma"/>
        </w:rPr>
      </w:pPr>
      <w:r>
        <w:rPr>
          <w:rFonts w:cs="Tahoma" w:ascii="Tahoma" w:hAnsi="Tahoma"/>
        </w:rPr>
        <w:t>Cinergy Corp.</w:t>
      </w:r>
    </w:p>
    <w:p>
      <w:pPr>
        <w:pStyle w:val="Normal"/>
        <w:numPr>
          <w:ilvl w:val="1"/>
          <w:numId w:val="9"/>
        </w:numPr>
        <w:rPr>
          <w:rFonts w:ascii="Tahoma" w:hAnsi="Tahoma" w:cs="Tahoma"/>
        </w:rPr>
      </w:pPr>
      <w:r>
        <w:rPr>
          <w:rFonts w:cs="Tahoma" w:ascii="Tahoma" w:hAnsi="Tahoma"/>
        </w:rPr>
        <w:t>Cincinnati Gas &amp; Electric Co.</w:t>
      </w:r>
    </w:p>
    <w:p>
      <w:pPr>
        <w:pStyle w:val="Normal"/>
        <w:numPr>
          <w:ilvl w:val="1"/>
          <w:numId w:val="9"/>
        </w:numPr>
        <w:rPr>
          <w:rFonts w:ascii="Tahoma" w:hAnsi="Tahoma" w:cs="Tahoma"/>
        </w:rPr>
      </w:pPr>
      <w:r>
        <w:rPr>
          <w:rFonts w:cs="Tahoma" w:ascii="Tahoma" w:hAnsi="Tahoma"/>
        </w:rPr>
        <w:t>PSI Energy Inc.</w:t>
      </w:r>
    </w:p>
    <w:p>
      <w:pPr>
        <w:pStyle w:val="Normal"/>
        <w:rPr>
          <w:rFonts w:ascii="Tahoma" w:hAnsi="Tahoma" w:cs="Tahoma"/>
        </w:rPr>
      </w:pPr>
      <w:r>
        <w:rPr>
          <w:rFonts w:cs="Tahoma" w:ascii="Tahoma" w:hAnsi="Tahoma"/>
        </w:rPr>
      </w:r>
    </w:p>
    <w:p>
      <w:pPr>
        <w:pStyle w:val="Normal"/>
        <w:numPr>
          <w:ilvl w:val="2"/>
          <w:numId w:val="9"/>
        </w:numPr>
        <w:tabs>
          <w:tab w:val="clear" w:pos="720"/>
          <w:tab w:val="left" w:pos="360" w:leader="none"/>
        </w:tabs>
        <w:ind w:hanging="216" w:start="216" w:end="0"/>
        <w:rPr>
          <w:rFonts w:ascii="Tahoma" w:hAnsi="Tahoma" w:cs="Tahoma"/>
        </w:rPr>
      </w:pPr>
      <w:r>
        <w:rPr>
          <w:rFonts w:cs="Tahoma" w:ascii="Tahoma" w:hAnsi="Tahoma"/>
        </w:rPr>
        <w:t>East Kentucky Power Cooperative, Inc.</w:t>
      </w:r>
    </w:p>
    <w:p>
      <w:pPr>
        <w:pStyle w:val="Normal"/>
        <w:numPr>
          <w:ilvl w:val="2"/>
          <w:numId w:val="9"/>
        </w:numPr>
        <w:tabs>
          <w:tab w:val="clear" w:pos="720"/>
          <w:tab w:val="left" w:pos="360" w:leader="none"/>
        </w:tabs>
        <w:ind w:hanging="216" w:start="216" w:end="0"/>
        <w:rPr>
          <w:rFonts w:ascii="Tahoma" w:hAnsi="Tahoma" w:cs="Tahoma"/>
        </w:rPr>
      </w:pPr>
      <w:r>
        <w:rPr>
          <w:rFonts w:cs="Tahoma" w:ascii="Tahoma" w:hAnsi="Tahoma"/>
        </w:rPr>
        <w:t>Hoosier Energy Rural Electric Cooperative, Inc.</w:t>
      </w:r>
    </w:p>
    <w:p>
      <w:pPr>
        <w:pStyle w:val="Normal"/>
        <w:numPr>
          <w:ilvl w:val="2"/>
          <w:numId w:val="9"/>
        </w:numPr>
        <w:tabs>
          <w:tab w:val="clear" w:pos="720"/>
          <w:tab w:val="left" w:pos="360" w:leader="none"/>
        </w:tabs>
        <w:ind w:hanging="216" w:start="216" w:end="0"/>
        <w:rPr>
          <w:rFonts w:ascii="Tahoma" w:hAnsi="Tahoma" w:cs="Tahoma"/>
        </w:rPr>
      </w:pPr>
      <w:r>
        <w:rPr>
          <w:rFonts w:cs="Tahoma" w:ascii="Tahoma" w:hAnsi="Tahoma"/>
        </w:rPr>
        <w:t>LG&amp;E Energy Corp.</w:t>
      </w:r>
    </w:p>
    <w:p>
      <w:pPr>
        <w:pStyle w:val="Normal"/>
        <w:numPr>
          <w:ilvl w:val="1"/>
          <w:numId w:val="9"/>
        </w:numPr>
        <w:rPr>
          <w:rFonts w:ascii="Tahoma" w:hAnsi="Tahoma" w:cs="Tahoma"/>
        </w:rPr>
      </w:pPr>
      <w:r>
        <w:rPr>
          <w:rFonts w:cs="Tahoma" w:ascii="Tahoma" w:hAnsi="Tahoma"/>
        </w:rPr>
        <w:t>Kentucky Utilities Co.</w:t>
      </w:r>
    </w:p>
    <w:p>
      <w:pPr>
        <w:pStyle w:val="Normal"/>
        <w:numPr>
          <w:ilvl w:val="1"/>
          <w:numId w:val="9"/>
        </w:numPr>
        <w:rPr>
          <w:rFonts w:ascii="Tahoma" w:hAnsi="Tahoma" w:cs="Tahoma"/>
        </w:rPr>
      </w:pPr>
      <w:r>
        <w:rPr>
          <w:rFonts w:cs="Tahoma" w:ascii="Tahoma" w:hAnsi="Tahoma"/>
        </w:rPr>
        <w:t>Louisville Gas &amp; Electric Co.</w:t>
      </w:r>
    </w:p>
    <w:p>
      <w:pPr>
        <w:pStyle w:val="Normal"/>
        <w:numPr>
          <w:ilvl w:val="2"/>
          <w:numId w:val="9"/>
        </w:numPr>
        <w:tabs>
          <w:tab w:val="clear" w:pos="720"/>
          <w:tab w:val="left" w:pos="360" w:leader="none"/>
        </w:tabs>
        <w:ind w:hanging="216" w:start="216" w:end="0"/>
        <w:rPr>
          <w:rFonts w:ascii="Tahoma" w:hAnsi="Tahoma" w:cs="Tahoma"/>
        </w:rPr>
      </w:pPr>
      <w:r>
        <w:rPr>
          <w:rFonts w:cs="Tahoma" w:ascii="Tahoma" w:hAnsi="Tahoma"/>
        </w:rPr>
        <w:t>Southern Indiana Gas and Electric Co.</w:t>
      </w:r>
    </w:p>
    <w:p>
      <w:pPr>
        <w:pStyle w:val="Normal"/>
        <w:numPr>
          <w:ilvl w:val="2"/>
          <w:numId w:val="9"/>
        </w:numPr>
        <w:tabs>
          <w:tab w:val="clear" w:pos="720"/>
          <w:tab w:val="left" w:pos="360" w:leader="none"/>
        </w:tabs>
        <w:ind w:hanging="216" w:start="216" w:end="0"/>
        <w:rPr>
          <w:rFonts w:ascii="Tahoma" w:hAnsi="Tahoma" w:cs="Tahoma"/>
        </w:rPr>
      </w:pPr>
      <w:r>
        <w:rPr>
          <w:rFonts w:cs="Tahoma" w:ascii="Tahoma" w:hAnsi="Tahoma"/>
        </w:rPr>
        <w:t>Ohio Valley Electric Corp.</w:t>
      </w:r>
    </w:p>
    <w:p>
      <w:pPr>
        <w:pStyle w:val="Normal"/>
        <w:numPr>
          <w:ilvl w:val="1"/>
          <w:numId w:val="4"/>
        </w:numPr>
        <w:rPr>
          <w:rFonts w:ascii="Tahoma" w:hAnsi="Tahoma" w:cs="Tahoma"/>
        </w:rPr>
      </w:pPr>
      <w:r>
        <w:rPr>
          <w:rFonts w:cs="Tahoma" w:ascii="Tahoma" w:hAnsi="Tahoma"/>
        </w:rPr>
        <w:t>Indiana-Kentucky Electric Corp.</w:t>
      </w:r>
    </w:p>
    <w:p>
      <w:pPr>
        <w:pStyle w:val="Normal"/>
        <w:rPr>
          <w:rFonts w:ascii="Tahoma" w:hAnsi="Tahoma" w:cs="Tahoma"/>
        </w:rPr>
      </w:pPr>
      <w:r>
        <w:rPr>
          <w:rFonts w:cs="Tahoma" w:ascii="Tahoma" w:hAnsi="Tahoma"/>
        </w:rPr>
      </w:r>
    </w:p>
    <w:p>
      <w:pPr>
        <w:pStyle w:val="Normal"/>
        <w:rPr>
          <w:rFonts w:ascii="Tahoma" w:hAnsi="Tahoma" w:cs="Tahoma"/>
          <w:sz w:val="20"/>
        </w:rPr>
      </w:pPr>
      <w:r>
        <w:rPr>
          <w:rFonts w:cs="Tahoma" w:ascii="Tahoma" w:hAnsi="Tahoma"/>
          <w:i/>
          <w:iCs/>
          <w:sz w:val="20"/>
        </w:rPr>
        <w:t>Sources: NERC, NERC coordinating councils, FERC; The Energy Authority transmission map rev. 3-27-00.</w:t>
      </w:r>
      <w:r>
        <w:br w:type="page"/>
      </w:r>
    </w:p>
    <w:p>
      <w:pPr>
        <w:pStyle w:val="Normal"/>
        <w:rPr>
          <w:rFonts w:ascii="Tahoma" w:hAnsi="Tahoma" w:cs="Tahoma"/>
          <w:sz w:val="20"/>
        </w:rPr>
      </w:pPr>
      <w:r>
        <w:rPr>
          <w:rFonts w:cs="Tahoma" w:ascii="Tahoma" w:hAnsi="Tahoma"/>
          <w:sz w:val="20"/>
        </w:rPr>
      </w:r>
    </w:p>
    <w:p>
      <w:pPr>
        <w:pStyle w:val="Heading1"/>
        <w:ind w:hanging="0" w:start="0"/>
        <w:rPr/>
      </w:pPr>
      <w:r>
        <w:rPr/>
        <w:t xml:space="preserve">Definition of the AEP/Northern ECAR hourly index - </w:t>
      </w:r>
      <w:r>
        <w:rPr>
          <w:b w:val="false"/>
          <w:bCs w:val="false"/>
        </w:rPr>
        <w:t>All hourly trades for power generated from, or sinking into, the Northern portion of the ECAR (East Central Area Reliability Council) NERC region. Includes merchant generating plants in the region, as well as the following control areas:</w:t>
      </w:r>
    </w:p>
    <w:p>
      <w:pPr>
        <w:pStyle w:val="Heading1"/>
        <w:ind w:hanging="0" w:start="0"/>
        <w:rPr>
          <w:b w:val="false"/>
          <w:bCs w:val="false"/>
        </w:rPr>
      </w:pPr>
      <w:r>
        <w:rPr>
          <w:b w:val="false"/>
          <w:bCs w:val="false"/>
        </w:rPr>
      </w:r>
    </w:p>
    <w:p>
      <w:pPr>
        <w:pStyle w:val="Normal"/>
        <w:numPr>
          <w:ilvl w:val="0"/>
          <w:numId w:val="10"/>
        </w:numPr>
        <w:rPr>
          <w:rFonts w:ascii="Tahoma" w:hAnsi="Tahoma" w:cs="Tahoma"/>
        </w:rPr>
      </w:pPr>
      <w:r>
        <w:rPr>
          <w:rFonts w:cs="Tahoma" w:ascii="Tahoma" w:hAnsi="Tahoma"/>
        </w:rPr>
        <w:t>American Electric Power (AEP)</w:t>
      </w:r>
    </w:p>
    <w:p>
      <w:pPr>
        <w:pStyle w:val="Normal"/>
        <w:numPr>
          <w:ilvl w:val="1"/>
          <w:numId w:val="10"/>
        </w:numPr>
        <w:rPr>
          <w:rFonts w:ascii="Tahoma" w:hAnsi="Tahoma" w:cs="Tahoma"/>
        </w:rPr>
      </w:pPr>
      <w:r>
        <w:rPr>
          <w:rFonts w:cs="Tahoma" w:ascii="Tahoma" w:hAnsi="Tahoma"/>
        </w:rPr>
        <w:t>Appalachian Power Co.</w:t>
      </w:r>
    </w:p>
    <w:p>
      <w:pPr>
        <w:pStyle w:val="Normal"/>
        <w:numPr>
          <w:ilvl w:val="1"/>
          <w:numId w:val="10"/>
        </w:numPr>
        <w:rPr>
          <w:rFonts w:ascii="Tahoma" w:hAnsi="Tahoma" w:cs="Tahoma"/>
        </w:rPr>
      </w:pPr>
      <w:r>
        <w:rPr>
          <w:rFonts w:cs="Tahoma" w:ascii="Tahoma" w:hAnsi="Tahoma"/>
        </w:rPr>
        <w:t>Columbus Southern Power Co.</w:t>
      </w:r>
    </w:p>
    <w:p>
      <w:pPr>
        <w:pStyle w:val="Normal"/>
        <w:numPr>
          <w:ilvl w:val="1"/>
          <w:numId w:val="10"/>
        </w:numPr>
        <w:rPr>
          <w:rFonts w:ascii="Tahoma" w:hAnsi="Tahoma" w:cs="Tahoma"/>
        </w:rPr>
      </w:pPr>
      <w:r>
        <w:rPr>
          <w:rFonts w:cs="Tahoma" w:ascii="Tahoma" w:hAnsi="Tahoma"/>
        </w:rPr>
        <w:t>Indiana Michigan Power Co.</w:t>
      </w:r>
    </w:p>
    <w:p>
      <w:pPr>
        <w:pStyle w:val="Normal"/>
        <w:numPr>
          <w:ilvl w:val="1"/>
          <w:numId w:val="10"/>
        </w:numPr>
        <w:rPr>
          <w:rFonts w:ascii="Tahoma" w:hAnsi="Tahoma" w:cs="Tahoma"/>
        </w:rPr>
      </w:pPr>
      <w:r>
        <w:rPr>
          <w:rFonts w:cs="Tahoma" w:ascii="Tahoma" w:hAnsi="Tahoma"/>
        </w:rPr>
        <w:t>Kentucky Power Co.</w:t>
      </w:r>
    </w:p>
    <w:p>
      <w:pPr>
        <w:pStyle w:val="Normal"/>
        <w:numPr>
          <w:ilvl w:val="1"/>
          <w:numId w:val="10"/>
        </w:numPr>
        <w:rPr>
          <w:rFonts w:ascii="Tahoma" w:hAnsi="Tahoma" w:cs="Tahoma"/>
        </w:rPr>
      </w:pPr>
      <w:r>
        <w:rPr>
          <w:rFonts w:cs="Tahoma" w:ascii="Tahoma" w:hAnsi="Tahoma"/>
        </w:rPr>
        <w:t>Ohio Power Co.</w:t>
      </w:r>
    </w:p>
    <w:p>
      <w:pPr>
        <w:pStyle w:val="Normal"/>
        <w:numPr>
          <w:ilvl w:val="0"/>
          <w:numId w:val="10"/>
        </w:numPr>
        <w:rPr>
          <w:rFonts w:ascii="Tahoma" w:hAnsi="Tahoma" w:cs="Tahoma"/>
        </w:rPr>
      </w:pPr>
      <w:r>
        <w:rPr>
          <w:rFonts w:cs="Tahoma" w:ascii="Tahoma" w:hAnsi="Tahoma"/>
        </w:rPr>
        <w:t>Allegheny Power</w:t>
      </w:r>
    </w:p>
    <w:p>
      <w:pPr>
        <w:pStyle w:val="Normal"/>
        <w:numPr>
          <w:ilvl w:val="0"/>
          <w:numId w:val="10"/>
        </w:numPr>
        <w:rPr>
          <w:rFonts w:ascii="Tahoma" w:hAnsi="Tahoma" w:cs="Tahoma"/>
        </w:rPr>
      </w:pPr>
      <w:r>
        <w:rPr>
          <w:rFonts w:cs="Tahoma" w:ascii="Tahoma" w:hAnsi="Tahoma"/>
        </w:rPr>
        <w:t>Consumers Energy</w:t>
      </w:r>
    </w:p>
    <w:p>
      <w:pPr>
        <w:pStyle w:val="Normal"/>
        <w:numPr>
          <w:ilvl w:val="0"/>
          <w:numId w:val="4"/>
        </w:numPr>
        <w:rPr>
          <w:rFonts w:ascii="Tahoma" w:hAnsi="Tahoma" w:cs="Tahoma"/>
        </w:rPr>
      </w:pPr>
      <w:r>
        <w:rPr>
          <w:rFonts w:cs="Tahoma" w:ascii="Tahoma" w:hAnsi="Tahoma"/>
        </w:rPr>
        <w:t>Dayton Power and Light Co.</w:t>
      </w:r>
    </w:p>
    <w:p>
      <w:pPr>
        <w:pStyle w:val="Normal"/>
        <w:numPr>
          <w:ilvl w:val="0"/>
          <w:numId w:val="10"/>
        </w:numPr>
        <w:rPr>
          <w:rFonts w:ascii="Tahoma" w:hAnsi="Tahoma" w:cs="Tahoma"/>
        </w:rPr>
      </w:pPr>
      <w:r>
        <w:rPr>
          <w:rFonts w:cs="Tahoma" w:ascii="Tahoma" w:hAnsi="Tahoma"/>
        </w:rPr>
        <w:t>Detroit Edison Co.</w:t>
      </w:r>
    </w:p>
    <w:p>
      <w:pPr>
        <w:pStyle w:val="Normal"/>
        <w:numPr>
          <w:ilvl w:val="0"/>
          <w:numId w:val="10"/>
        </w:numPr>
        <w:rPr>
          <w:rFonts w:ascii="Tahoma" w:hAnsi="Tahoma" w:cs="Tahoma"/>
        </w:rPr>
      </w:pPr>
      <w:r>
        <w:rPr>
          <w:rFonts w:cs="Tahoma" w:ascii="Tahoma" w:hAnsi="Tahoma"/>
        </w:rPr>
        <w:t>Duquesne Light Co.</w:t>
      </w:r>
    </w:p>
    <w:p>
      <w:pPr>
        <w:pStyle w:val="Normal"/>
        <w:numPr>
          <w:ilvl w:val="0"/>
          <w:numId w:val="4"/>
        </w:numPr>
        <w:rPr>
          <w:rFonts w:ascii="Tahoma" w:hAnsi="Tahoma" w:cs="Tahoma"/>
        </w:rPr>
      </w:pPr>
      <w:r>
        <w:rPr>
          <w:rFonts w:cs="Tahoma" w:ascii="Tahoma" w:hAnsi="Tahoma"/>
        </w:rPr>
        <w:t>First Energy</w:t>
      </w:r>
    </w:p>
    <w:p>
      <w:pPr>
        <w:pStyle w:val="Normal"/>
        <w:numPr>
          <w:ilvl w:val="1"/>
          <w:numId w:val="4"/>
        </w:numPr>
        <w:rPr>
          <w:rFonts w:ascii="Tahoma" w:hAnsi="Tahoma" w:cs="Tahoma"/>
        </w:rPr>
      </w:pPr>
      <w:r>
        <w:rPr>
          <w:rFonts w:cs="Tahoma" w:ascii="Tahoma" w:hAnsi="Tahoma"/>
        </w:rPr>
        <w:t>Cleveland Electric Illuminating Co.</w:t>
      </w:r>
    </w:p>
    <w:p>
      <w:pPr>
        <w:pStyle w:val="Normal"/>
        <w:numPr>
          <w:ilvl w:val="1"/>
          <w:numId w:val="4"/>
        </w:numPr>
        <w:rPr>
          <w:rFonts w:ascii="Tahoma" w:hAnsi="Tahoma" w:cs="Tahoma"/>
        </w:rPr>
      </w:pPr>
      <w:r>
        <w:rPr>
          <w:rFonts w:cs="Tahoma" w:ascii="Tahoma" w:hAnsi="Tahoma"/>
        </w:rPr>
        <w:t>Ohio Edison Co.</w:t>
      </w:r>
    </w:p>
    <w:p>
      <w:pPr>
        <w:pStyle w:val="Normal"/>
        <w:numPr>
          <w:ilvl w:val="1"/>
          <w:numId w:val="4"/>
        </w:numPr>
        <w:rPr>
          <w:rFonts w:ascii="Tahoma" w:hAnsi="Tahoma" w:cs="Tahoma"/>
        </w:rPr>
      </w:pPr>
      <w:r>
        <w:rPr>
          <w:rFonts w:cs="Tahoma" w:ascii="Tahoma" w:hAnsi="Tahoma"/>
        </w:rPr>
        <w:t>Pennsylvania Power Co.</w:t>
      </w:r>
    </w:p>
    <w:p>
      <w:pPr>
        <w:pStyle w:val="Normal"/>
        <w:numPr>
          <w:ilvl w:val="1"/>
          <w:numId w:val="4"/>
        </w:numPr>
        <w:rPr>
          <w:rFonts w:ascii="Tahoma" w:hAnsi="Tahoma" w:cs="Tahoma"/>
        </w:rPr>
      </w:pPr>
      <w:r>
        <w:rPr>
          <w:rFonts w:cs="Tahoma" w:ascii="Tahoma" w:hAnsi="Tahoma"/>
        </w:rPr>
        <w:t>Toledo Edison Co., The</w:t>
      </w:r>
    </w:p>
    <w:p>
      <w:pPr>
        <w:pStyle w:val="Normal"/>
        <w:numPr>
          <w:ilvl w:val="0"/>
          <w:numId w:val="10"/>
        </w:numPr>
        <w:rPr>
          <w:rFonts w:ascii="Tahoma" w:hAnsi="Tahoma" w:cs="Tahoma"/>
        </w:rPr>
      </w:pPr>
      <w:r>
        <w:rPr>
          <w:rFonts w:cs="Tahoma" w:ascii="Tahoma" w:hAnsi="Tahoma"/>
        </w:rPr>
        <w:t>Indianapolis Power &amp; Light Co.</w:t>
      </w:r>
    </w:p>
    <w:p>
      <w:pPr>
        <w:pStyle w:val="Normal"/>
        <w:numPr>
          <w:ilvl w:val="0"/>
          <w:numId w:val="10"/>
        </w:numPr>
        <w:rPr>
          <w:rFonts w:ascii="Tahoma" w:hAnsi="Tahoma" w:cs="Tahoma"/>
        </w:rPr>
      </w:pPr>
      <w:r>
        <w:rPr>
          <w:rFonts w:cs="Tahoma" w:ascii="Tahoma" w:hAnsi="Tahoma"/>
        </w:rPr>
        <w:t>Monongahela Power Co.</w:t>
      </w:r>
    </w:p>
    <w:p>
      <w:pPr>
        <w:pStyle w:val="Normal"/>
        <w:numPr>
          <w:ilvl w:val="0"/>
          <w:numId w:val="4"/>
        </w:numPr>
        <w:rPr>
          <w:rFonts w:ascii="Tahoma" w:hAnsi="Tahoma" w:cs="Tahoma"/>
        </w:rPr>
      </w:pPr>
      <w:r>
        <w:rPr>
          <w:rFonts w:cs="Tahoma" w:ascii="Tahoma" w:hAnsi="Tahoma"/>
        </w:rPr>
        <w:t>Northern Indiana Public Service Co.</w:t>
      </w:r>
    </w:p>
    <w:p>
      <w:pPr>
        <w:pStyle w:val="Normal"/>
        <w:numPr>
          <w:ilvl w:val="0"/>
          <w:numId w:val="10"/>
        </w:numPr>
        <w:rPr>
          <w:rFonts w:ascii="Tahoma" w:hAnsi="Tahoma" w:cs="Tahoma"/>
        </w:rPr>
      </w:pPr>
      <w:r>
        <w:rPr>
          <w:rFonts w:cs="Tahoma" w:ascii="Tahoma" w:hAnsi="Tahoma"/>
        </w:rPr>
        <w:t>Potomac Edison Co.</w:t>
      </w:r>
    </w:p>
    <w:p>
      <w:pPr>
        <w:pStyle w:val="Normal"/>
        <w:numPr>
          <w:ilvl w:val="0"/>
          <w:numId w:val="10"/>
        </w:numPr>
        <w:rPr>
          <w:rFonts w:ascii="Tahoma" w:hAnsi="Tahoma" w:cs="Tahoma"/>
        </w:rPr>
      </w:pPr>
      <w:r>
        <w:rPr>
          <w:rFonts w:cs="Tahoma" w:ascii="Tahoma" w:hAnsi="Tahoma"/>
        </w:rPr>
        <w:t>West Penn Power Co.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i/>
          <w:iCs/>
          <w:sz w:val="20"/>
        </w:rPr>
        <w:t>Sources: NERC, NERC coordinating councils, FERC; The Energy Authority transmission map rev. 3-27-00.</w:t>
      </w:r>
      <w:r>
        <w:br w:type="page"/>
      </w:r>
    </w:p>
    <w:p>
      <w:pPr>
        <w:pStyle w:val="Normal"/>
        <w:rPr>
          <w:rFonts w:ascii="Tahoma" w:hAnsi="Tahoma" w:cs="Tahoma"/>
        </w:rPr>
      </w:pPr>
      <w:r>
        <w:rPr>
          <w:rFonts w:cs="Tahoma" w:ascii="Tahoma" w:hAnsi="Tahoma"/>
        </w:rPr>
      </w:r>
    </w:p>
    <w:p>
      <w:pPr>
        <w:pStyle w:val="Normal"/>
        <w:rPr/>
      </w:pPr>
      <w:r>
        <w:rPr>
          <w:rFonts w:cs="Tahoma" w:ascii="Tahoma" w:hAnsi="Tahoma"/>
          <w:b/>
          <w:bCs/>
        </w:rPr>
        <w:t xml:space="preserve">Definition of ComEd/MAIN hourly index — </w:t>
      </w:r>
      <w:r>
        <w:rPr>
          <w:rFonts w:cs="Tahoma" w:ascii="Tahoma" w:hAnsi="Tahoma"/>
        </w:rPr>
        <w:t>All hourly trades for power generated from, or sinking into, the MAIN (Mid-America Interconnected Network, Inc.) NERC region. Includes merchant generating plants in the region, as well as the following control areas:</w:t>
      </w:r>
    </w:p>
    <w:p>
      <w:pPr>
        <w:pStyle w:val="Normal"/>
        <w:rPr>
          <w:rFonts w:ascii="Tahoma" w:hAnsi="Tahoma" w:eastAsia="Tahoma" w:cs="Tahoma"/>
          <w:szCs w:val="20"/>
        </w:rPr>
      </w:pPr>
      <w:r>
        <w:rPr>
          <w:rFonts w:eastAsia="Tahoma" w:cs="Tahoma" w:ascii="Tahoma" w:hAnsi="Tahoma"/>
          <w:szCs w:val="20"/>
        </w:rPr>
        <w:t xml:space="preserve"> </w:t>
      </w:r>
    </w:p>
    <w:p>
      <w:pPr>
        <w:pStyle w:val="HTMLPreformatted"/>
        <w:numPr>
          <w:ilvl w:val="0"/>
          <w:numId w:val="11"/>
        </w:numPr>
        <w:rPr>
          <w:rFonts w:ascii="Tahoma" w:hAnsi="Tahoma" w:cs="Tahoma"/>
          <w:sz w:val="24"/>
        </w:rPr>
      </w:pPr>
      <w:r>
        <w:rPr>
          <w:rFonts w:cs="Tahoma" w:ascii="Tahoma" w:hAnsi="Tahoma"/>
          <w:sz w:val="24"/>
        </w:rPr>
        <w:t>Alliant Energy</w:t>
      </w:r>
    </w:p>
    <w:p>
      <w:pPr>
        <w:pStyle w:val="HTMLPreformatted"/>
        <w:numPr>
          <w:ilvl w:val="0"/>
          <w:numId w:val="11"/>
        </w:numPr>
        <w:rPr>
          <w:rFonts w:ascii="Tahoma" w:hAnsi="Tahoma" w:cs="Tahoma"/>
          <w:sz w:val="24"/>
        </w:rPr>
      </w:pPr>
      <w:r>
        <w:rPr>
          <w:rFonts w:cs="Tahoma" w:ascii="Tahoma" w:hAnsi="Tahoma"/>
          <w:sz w:val="24"/>
        </w:rPr>
        <w:t>Ameren</w:t>
      </w:r>
    </w:p>
    <w:p>
      <w:pPr>
        <w:pStyle w:val="HTMLPreformatted"/>
        <w:numPr>
          <w:ilvl w:val="0"/>
          <w:numId w:val="11"/>
        </w:numPr>
        <w:rPr>
          <w:rFonts w:ascii="Tahoma" w:hAnsi="Tahoma" w:cs="Tahoma"/>
          <w:sz w:val="24"/>
        </w:rPr>
      </w:pPr>
      <w:r>
        <w:rPr>
          <w:rFonts w:cs="Tahoma" w:ascii="Tahoma" w:hAnsi="Tahoma"/>
          <w:sz w:val="24"/>
        </w:rPr>
        <w:t>Central Illinois Light Co.</w:t>
      </w:r>
    </w:p>
    <w:p>
      <w:pPr>
        <w:pStyle w:val="HTMLPreformatted"/>
        <w:numPr>
          <w:ilvl w:val="0"/>
          <w:numId w:val="11"/>
        </w:numPr>
        <w:rPr>
          <w:rFonts w:ascii="Tahoma" w:hAnsi="Tahoma" w:cs="Tahoma"/>
          <w:sz w:val="24"/>
        </w:rPr>
      </w:pPr>
      <w:r>
        <w:rPr>
          <w:rFonts w:cs="Tahoma" w:ascii="Tahoma" w:hAnsi="Tahoma"/>
          <w:sz w:val="24"/>
        </w:rPr>
        <w:t>City Water, Light and Power</w:t>
      </w:r>
    </w:p>
    <w:p>
      <w:pPr>
        <w:pStyle w:val="HTMLPreformatted"/>
        <w:numPr>
          <w:ilvl w:val="0"/>
          <w:numId w:val="11"/>
        </w:numPr>
        <w:rPr>
          <w:rFonts w:ascii="Tahoma" w:hAnsi="Tahoma" w:cs="Tahoma"/>
          <w:sz w:val="24"/>
        </w:rPr>
      </w:pPr>
      <w:r>
        <w:rPr>
          <w:rFonts w:cs="Tahoma" w:ascii="Tahoma" w:hAnsi="Tahoma"/>
          <w:sz w:val="24"/>
        </w:rPr>
        <w:t>Columbia (Missouri) Water &amp; Light</w:t>
      </w:r>
    </w:p>
    <w:p>
      <w:pPr>
        <w:pStyle w:val="HTMLPreformatted"/>
        <w:numPr>
          <w:ilvl w:val="0"/>
          <w:numId w:val="11"/>
        </w:numPr>
        <w:rPr>
          <w:rFonts w:ascii="Tahoma" w:hAnsi="Tahoma" w:cs="Tahoma"/>
          <w:sz w:val="24"/>
        </w:rPr>
      </w:pPr>
      <w:r>
        <w:rPr>
          <w:rFonts w:cs="Tahoma" w:ascii="Tahoma" w:hAnsi="Tahoma"/>
          <w:sz w:val="24"/>
        </w:rPr>
        <w:t>Commonwealth Edison Co.</w:t>
      </w:r>
    </w:p>
    <w:p>
      <w:pPr>
        <w:pStyle w:val="HTMLPreformatted"/>
        <w:numPr>
          <w:ilvl w:val="0"/>
          <w:numId w:val="11"/>
        </w:numPr>
        <w:rPr>
          <w:rFonts w:ascii="Tahoma" w:hAnsi="Tahoma" w:cs="Tahoma"/>
          <w:sz w:val="24"/>
        </w:rPr>
      </w:pPr>
      <w:r>
        <w:rPr>
          <w:rFonts w:cs="Tahoma" w:ascii="Tahoma" w:hAnsi="Tahoma"/>
          <w:sz w:val="24"/>
        </w:rPr>
        <w:t>Electric Energy, Inc.</w:t>
      </w:r>
    </w:p>
    <w:p>
      <w:pPr>
        <w:pStyle w:val="HTMLPreformatted"/>
        <w:numPr>
          <w:ilvl w:val="0"/>
          <w:numId w:val="11"/>
        </w:numPr>
        <w:rPr>
          <w:rFonts w:ascii="Tahoma" w:hAnsi="Tahoma" w:cs="Tahoma"/>
          <w:sz w:val="24"/>
        </w:rPr>
      </w:pPr>
      <w:r>
        <w:rPr>
          <w:rFonts w:cs="Tahoma" w:ascii="Tahoma" w:hAnsi="Tahoma"/>
          <w:sz w:val="24"/>
        </w:rPr>
        <w:t>Illinois Power Co.</w:t>
      </w:r>
    </w:p>
    <w:p>
      <w:pPr>
        <w:pStyle w:val="HTMLPreformatted"/>
        <w:numPr>
          <w:ilvl w:val="0"/>
          <w:numId w:val="11"/>
        </w:numPr>
        <w:rPr>
          <w:rFonts w:ascii="Tahoma" w:hAnsi="Tahoma" w:cs="Tahoma"/>
          <w:sz w:val="24"/>
        </w:rPr>
      </w:pPr>
      <w:r>
        <w:rPr>
          <w:rFonts w:cs="Tahoma" w:ascii="Tahoma" w:hAnsi="Tahoma"/>
          <w:sz w:val="24"/>
        </w:rPr>
        <w:t>Madison Gas &amp; Electric Co.</w:t>
      </w:r>
    </w:p>
    <w:p>
      <w:pPr>
        <w:pStyle w:val="HTMLPreformatted"/>
        <w:numPr>
          <w:ilvl w:val="0"/>
          <w:numId w:val="11"/>
        </w:numPr>
        <w:rPr>
          <w:rFonts w:ascii="Tahoma" w:hAnsi="Tahoma" w:cs="Tahoma"/>
          <w:sz w:val="24"/>
        </w:rPr>
      </w:pPr>
      <w:r>
        <w:rPr>
          <w:rFonts w:cs="Tahoma" w:ascii="Tahoma" w:hAnsi="Tahoma"/>
          <w:sz w:val="24"/>
        </w:rPr>
        <w:t>Southern Illinois Power Co-operative</w:t>
      </w:r>
    </w:p>
    <w:p>
      <w:pPr>
        <w:pStyle w:val="HTMLPreformatted"/>
        <w:numPr>
          <w:ilvl w:val="0"/>
          <w:numId w:val="11"/>
        </w:numPr>
        <w:rPr>
          <w:rFonts w:ascii="Tahoma" w:hAnsi="Tahoma" w:cs="Tahoma"/>
          <w:sz w:val="24"/>
        </w:rPr>
      </w:pPr>
      <w:r>
        <w:rPr>
          <w:rFonts w:cs="Tahoma" w:ascii="Tahoma" w:hAnsi="Tahoma"/>
          <w:sz w:val="24"/>
        </w:rPr>
        <w:t>Wisconsin Electric Power Co.</w:t>
      </w:r>
    </w:p>
    <w:p>
      <w:pPr>
        <w:pStyle w:val="HTMLPreformatted"/>
        <w:numPr>
          <w:ilvl w:val="0"/>
          <w:numId w:val="11"/>
        </w:numPr>
        <w:rPr>
          <w:rFonts w:ascii="Tahoma" w:hAnsi="Tahoma" w:cs="Tahoma"/>
          <w:sz w:val="24"/>
        </w:rPr>
      </w:pPr>
      <w:r>
        <w:rPr>
          <w:rFonts w:cs="Tahoma" w:ascii="Tahoma" w:hAnsi="Tahoma"/>
          <w:sz w:val="24"/>
        </w:rPr>
        <w:t>Wisconsin Public Service Corp. (WPS Resources Corp.)</w:t>
      </w:r>
    </w:p>
    <w:p>
      <w:pPr>
        <w:pStyle w:val="HTMLPreformatted"/>
        <w:numPr>
          <w:ilvl w:val="1"/>
          <w:numId w:val="11"/>
        </w:numPr>
        <w:rPr>
          <w:rFonts w:ascii="Tahoma" w:hAnsi="Tahoma" w:cs="Tahoma"/>
          <w:sz w:val="24"/>
        </w:rPr>
      </w:pPr>
      <w:r>
        <w:rPr>
          <w:rFonts w:cs="Tahoma" w:ascii="Tahoma" w:hAnsi="Tahoma"/>
          <w:sz w:val="24"/>
        </w:rPr>
        <w:t xml:space="preserve">Upper Peninsula Power </w:t>
      </w:r>
    </w:p>
    <w:p>
      <w:pPr>
        <w:pStyle w:val="HTMLPreformatted"/>
        <w:rPr>
          <w:rFonts w:ascii="Tahoma" w:hAnsi="Tahoma" w:cs="Tahoma"/>
          <w:sz w:val="24"/>
        </w:rPr>
      </w:pPr>
      <w:r>
        <w:rPr>
          <w:rFonts w:cs="Tahoma" w:ascii="Tahoma" w:hAnsi="Tahoma"/>
          <w:sz w:val="24"/>
        </w:rPr>
      </w:r>
    </w:p>
    <w:p>
      <w:pPr>
        <w:pStyle w:val="HTMLPreformatted"/>
        <w:rPr/>
      </w:pPr>
      <w:r>
        <w:rPr/>
      </w:r>
    </w:p>
    <w:p>
      <w:pPr>
        <w:pStyle w:val="Normal"/>
        <w:rPr>
          <w:rFonts w:ascii="Tahoma" w:hAnsi="Tahoma" w:cs="Tahoma"/>
          <w:b/>
          <w:bCs/>
        </w:rPr>
      </w:pPr>
      <w:r>
        <w:rPr>
          <w:rFonts w:cs="Tahoma" w:ascii="Tahoma" w:hAnsi="Tahoma"/>
          <w:i/>
          <w:iCs/>
          <w:sz w:val="20"/>
        </w:rPr>
        <w:t>Sources: NERC, NERC coordinating councils, FERC; The Energy Authority transmission map rev. 3-27-00.</w:t>
      </w:r>
      <w:r>
        <w:br w:type="page"/>
      </w:r>
    </w:p>
    <w:p>
      <w:pPr>
        <w:pStyle w:val="Normal"/>
        <w:rPr/>
      </w:pPr>
      <w:r>
        <w:rPr>
          <w:rFonts w:cs="Tahoma" w:ascii="Tahoma" w:hAnsi="Tahoma"/>
          <w:b/>
          <w:bCs/>
        </w:rPr>
        <w:t xml:space="preserve">Definition of the Entergy/SPP hourly index — </w:t>
      </w:r>
      <w:r>
        <w:rPr>
          <w:rFonts w:cs="Tahoma" w:ascii="Tahoma" w:hAnsi="Tahoma"/>
        </w:rPr>
        <w:t>All hourly trades for power generated from, or sinking into, the Southwest Power Pool (SPP) and Entergy* control areas. Includes merchant generating plants in the region, as well as the following control areas:</w:t>
      </w:r>
    </w:p>
    <w:p>
      <w:pPr>
        <w:pStyle w:val="Normal"/>
        <w:rPr>
          <w:rFonts w:ascii="Tahoma" w:hAnsi="Tahoma" w:cs="Tahoma"/>
        </w:rPr>
      </w:pPr>
      <w:r>
        <w:rPr>
          <w:rFonts w:cs="Tahoma" w:ascii="Tahoma" w:hAnsi="Tahoma"/>
        </w:rPr>
      </w:r>
    </w:p>
    <w:p>
      <w:pPr>
        <w:pStyle w:val="Heading1"/>
        <w:ind w:hanging="0" w:start="0"/>
        <w:rPr>
          <w:b w:val="false"/>
          <w:bCs w:val="false"/>
          <w:u w:val="single"/>
        </w:rPr>
      </w:pPr>
      <w:r>
        <w:rPr>
          <w:b w:val="false"/>
          <w:bCs w:val="false"/>
          <w:u w:val="single"/>
        </w:rPr>
        <w:t xml:space="preserve">Investor-Owned  </w:t>
      </w:r>
    </w:p>
    <w:p>
      <w:pPr>
        <w:pStyle w:val="Normal"/>
        <w:numPr>
          <w:ilvl w:val="0"/>
          <w:numId w:val="8"/>
        </w:numPr>
        <w:rPr>
          <w:rFonts w:ascii="Tahoma" w:hAnsi="Tahoma" w:cs="Tahoma"/>
        </w:rPr>
      </w:pPr>
      <w:r>
        <w:rPr>
          <w:rFonts w:cs="Tahoma" w:ascii="Tahoma" w:hAnsi="Tahoma"/>
        </w:rPr>
        <w:t xml:space="preserve">Central &amp; Southwest Services Corp. (subsidiary of AEP) </w:t>
      </w:r>
    </w:p>
    <w:p>
      <w:pPr>
        <w:pStyle w:val="Normal"/>
        <w:numPr>
          <w:ilvl w:val="1"/>
          <w:numId w:val="8"/>
        </w:numPr>
        <w:rPr>
          <w:rFonts w:ascii="Tahoma" w:hAnsi="Tahoma" w:cs="Tahoma"/>
        </w:rPr>
      </w:pPr>
      <w:r>
        <w:rPr>
          <w:rFonts w:cs="Tahoma" w:ascii="Tahoma" w:hAnsi="Tahoma"/>
        </w:rPr>
        <w:t xml:space="preserve">Public Service Co. of Oklahoma </w:t>
      </w:r>
    </w:p>
    <w:p>
      <w:pPr>
        <w:pStyle w:val="BodyTextIndent"/>
        <w:numPr>
          <w:ilvl w:val="1"/>
          <w:numId w:val="8"/>
        </w:numPr>
        <w:rPr/>
      </w:pPr>
      <w:r>
        <w:rPr/>
        <w:t xml:space="preserve">Southwestern Electric Power Co. </w:t>
      </w:r>
    </w:p>
    <w:p>
      <w:pPr>
        <w:pStyle w:val="Normal"/>
        <w:numPr>
          <w:ilvl w:val="0"/>
          <w:numId w:val="8"/>
        </w:numPr>
        <w:rPr>
          <w:rFonts w:ascii="Tahoma" w:hAnsi="Tahoma" w:cs="Tahoma"/>
        </w:rPr>
      </w:pPr>
      <w:r>
        <w:rPr>
          <w:rFonts w:cs="Tahoma" w:ascii="Tahoma" w:hAnsi="Tahoma"/>
        </w:rPr>
        <w:t>CLECO (Central Louisiana Electric Co-op)</w:t>
      </w:r>
    </w:p>
    <w:p>
      <w:pPr>
        <w:pStyle w:val="Heading1"/>
        <w:numPr>
          <w:ilvl w:val="0"/>
          <w:numId w:val="8"/>
        </w:numPr>
        <w:rPr>
          <w:b w:val="false"/>
          <w:bCs w:val="false"/>
        </w:rPr>
      </w:pPr>
      <w:r>
        <w:rPr>
          <w:b w:val="false"/>
          <w:bCs w:val="false"/>
        </w:rPr>
        <w:t xml:space="preserve">Empire District Electric Company </w:t>
      </w:r>
    </w:p>
    <w:p>
      <w:pPr>
        <w:pStyle w:val="Normal"/>
        <w:numPr>
          <w:ilvl w:val="0"/>
          <w:numId w:val="8"/>
        </w:numPr>
        <w:rPr>
          <w:rFonts w:ascii="Tahoma" w:hAnsi="Tahoma" w:cs="Tahoma"/>
        </w:rPr>
      </w:pPr>
      <w:r>
        <w:rPr>
          <w:rFonts w:cs="Tahoma" w:ascii="Tahoma" w:hAnsi="Tahoma"/>
        </w:rPr>
        <w:t xml:space="preserve">Entergy Services, Inc.*  </w:t>
      </w:r>
    </w:p>
    <w:p>
      <w:pPr>
        <w:pStyle w:val="Normal"/>
        <w:numPr>
          <w:ilvl w:val="1"/>
          <w:numId w:val="8"/>
        </w:numPr>
        <w:rPr>
          <w:rFonts w:ascii="Tahoma" w:hAnsi="Tahoma" w:cs="Tahoma"/>
          <w:szCs w:val="20"/>
        </w:rPr>
      </w:pPr>
      <w:r>
        <w:rPr>
          <w:rFonts w:cs="Tahoma" w:ascii="Tahoma" w:hAnsi="Tahoma"/>
          <w:szCs w:val="20"/>
        </w:rPr>
        <w:t>Entergy Arkansas</w:t>
      </w:r>
    </w:p>
    <w:p>
      <w:pPr>
        <w:pStyle w:val="Normal"/>
        <w:numPr>
          <w:ilvl w:val="1"/>
          <w:numId w:val="8"/>
        </w:numPr>
        <w:rPr>
          <w:rFonts w:ascii="Tahoma" w:hAnsi="Tahoma" w:cs="Tahoma"/>
          <w:szCs w:val="20"/>
        </w:rPr>
      </w:pPr>
      <w:r>
        <w:rPr>
          <w:rFonts w:cs="Tahoma" w:ascii="Tahoma" w:hAnsi="Tahoma"/>
          <w:szCs w:val="20"/>
        </w:rPr>
        <w:t>Entergy Louisiana</w:t>
      </w:r>
    </w:p>
    <w:p>
      <w:pPr>
        <w:pStyle w:val="Normal"/>
        <w:numPr>
          <w:ilvl w:val="1"/>
          <w:numId w:val="8"/>
        </w:numPr>
        <w:rPr>
          <w:rFonts w:ascii="Tahoma" w:hAnsi="Tahoma" w:cs="Tahoma"/>
          <w:szCs w:val="20"/>
        </w:rPr>
      </w:pPr>
      <w:r>
        <w:rPr>
          <w:rFonts w:cs="Tahoma" w:ascii="Tahoma" w:hAnsi="Tahoma"/>
          <w:szCs w:val="20"/>
        </w:rPr>
        <w:t>Entergy Mississippi</w:t>
      </w:r>
    </w:p>
    <w:p>
      <w:pPr>
        <w:pStyle w:val="Normal"/>
        <w:numPr>
          <w:ilvl w:val="1"/>
          <w:numId w:val="8"/>
        </w:numPr>
        <w:rPr/>
      </w:pPr>
      <w:r>
        <w:rPr>
          <w:rFonts w:cs="Tahoma" w:ascii="Tahoma" w:hAnsi="Tahoma"/>
        </w:rPr>
        <w:t>Entergy Gulf States</w:t>
      </w:r>
    </w:p>
    <w:p>
      <w:pPr>
        <w:pStyle w:val="Normal"/>
        <w:numPr>
          <w:ilvl w:val="1"/>
          <w:numId w:val="8"/>
        </w:numPr>
        <w:rPr/>
      </w:pPr>
      <w:r>
        <w:rPr>
          <w:rFonts w:cs="Tahoma" w:ascii="Tahoma" w:hAnsi="Tahoma"/>
        </w:rPr>
        <w:t>Entergy New Orleans</w:t>
      </w:r>
    </w:p>
    <w:p>
      <w:pPr>
        <w:pStyle w:val="Normal"/>
        <w:numPr>
          <w:ilvl w:val="0"/>
          <w:numId w:val="8"/>
        </w:numPr>
        <w:rPr>
          <w:rFonts w:ascii="Tahoma" w:hAnsi="Tahoma" w:cs="Tahoma"/>
        </w:rPr>
      </w:pPr>
      <w:r>
        <w:rPr>
          <w:rFonts w:cs="Tahoma" w:ascii="Tahoma" w:hAnsi="Tahoma"/>
        </w:rPr>
        <w:t xml:space="preserve">Kansas City Power &amp; Light Co. (KCPL) </w:t>
      </w:r>
    </w:p>
    <w:p>
      <w:pPr>
        <w:pStyle w:val="Heading1"/>
        <w:numPr>
          <w:ilvl w:val="0"/>
          <w:numId w:val="8"/>
        </w:numPr>
        <w:rPr>
          <w:b w:val="false"/>
          <w:bCs w:val="false"/>
        </w:rPr>
      </w:pPr>
      <w:r>
        <w:rPr>
          <w:b w:val="false"/>
          <w:bCs w:val="false"/>
        </w:rPr>
        <w:t>OG&amp;E Electric Services (Oklahoma Gas &amp; Electric)</w:t>
      </w:r>
    </w:p>
    <w:p>
      <w:pPr>
        <w:pStyle w:val="Heading1"/>
        <w:numPr>
          <w:ilvl w:val="0"/>
          <w:numId w:val="8"/>
        </w:numPr>
        <w:rPr>
          <w:b w:val="false"/>
          <w:bCs w:val="false"/>
        </w:rPr>
      </w:pPr>
      <w:r>
        <w:rPr>
          <w:b w:val="false"/>
          <w:bCs w:val="false"/>
        </w:rPr>
        <w:t xml:space="preserve">Southwestern Public Service Company </w:t>
      </w:r>
    </w:p>
    <w:p>
      <w:pPr>
        <w:pStyle w:val="Heading1"/>
        <w:numPr>
          <w:ilvl w:val="0"/>
          <w:numId w:val="8"/>
        </w:numPr>
        <w:rPr>
          <w:b w:val="false"/>
          <w:bCs w:val="false"/>
        </w:rPr>
      </w:pPr>
      <w:r>
        <w:rPr>
          <w:b w:val="false"/>
          <w:bCs w:val="false"/>
        </w:rPr>
        <w:t>Utilicorp United, Inc.</w:t>
      </w:r>
    </w:p>
    <w:p>
      <w:pPr>
        <w:pStyle w:val="Heading1"/>
        <w:numPr>
          <w:ilvl w:val="1"/>
          <w:numId w:val="8"/>
        </w:numPr>
        <w:rPr>
          <w:b w:val="false"/>
          <w:bCs w:val="false"/>
        </w:rPr>
      </w:pPr>
      <w:r>
        <w:rPr>
          <w:b w:val="false"/>
          <w:bCs w:val="false"/>
        </w:rPr>
        <w:t xml:space="preserve">St. Joseph Light &amp; Power </w:t>
      </w:r>
      <w:r>
        <w:rPr>
          <w:b w:val="false"/>
          <w:bCs w:val="false"/>
          <w:i/>
          <w:iCs/>
          <w:sz w:val="20"/>
        </w:rPr>
        <w:t>(moving to SPP following Utilicorp acquisition)</w:t>
      </w:r>
    </w:p>
    <w:p>
      <w:pPr>
        <w:pStyle w:val="Heading1"/>
        <w:numPr>
          <w:ilvl w:val="1"/>
          <w:numId w:val="8"/>
        </w:numPr>
        <w:rPr>
          <w:b w:val="false"/>
          <w:bCs w:val="false"/>
        </w:rPr>
      </w:pPr>
      <w:r>
        <w:rPr>
          <w:b w:val="false"/>
          <w:bCs w:val="false"/>
        </w:rPr>
        <w:t xml:space="preserve">Missouri Public Service </w:t>
      </w:r>
    </w:p>
    <w:p>
      <w:pPr>
        <w:pStyle w:val="Heading1"/>
        <w:numPr>
          <w:ilvl w:val="1"/>
          <w:numId w:val="8"/>
        </w:numPr>
        <w:rPr>
          <w:b w:val="false"/>
          <w:bCs w:val="false"/>
        </w:rPr>
      </w:pPr>
      <w:r>
        <w:rPr>
          <w:b w:val="false"/>
          <w:bCs w:val="false"/>
        </w:rPr>
        <w:t xml:space="preserve">WestPlains Energy </w:t>
      </w:r>
    </w:p>
    <w:p>
      <w:pPr>
        <w:pStyle w:val="Heading1"/>
        <w:numPr>
          <w:ilvl w:val="0"/>
          <w:numId w:val="8"/>
        </w:numPr>
        <w:rPr>
          <w:b w:val="false"/>
          <w:bCs w:val="false"/>
        </w:rPr>
      </w:pPr>
      <w:r>
        <w:rPr>
          <w:b w:val="false"/>
          <w:bCs w:val="false"/>
        </w:rPr>
        <w:t>Western Resources, Inc. (WRI)</w:t>
      </w:r>
    </w:p>
    <w:p>
      <w:pPr>
        <w:pStyle w:val="Heading1"/>
        <w:numPr>
          <w:ilvl w:val="1"/>
          <w:numId w:val="8"/>
        </w:numPr>
        <w:rPr>
          <w:b w:val="false"/>
          <w:bCs w:val="false"/>
        </w:rPr>
      </w:pPr>
      <w:r>
        <w:rPr>
          <w:b w:val="false"/>
          <w:bCs w:val="false"/>
        </w:rPr>
        <w:t>KGE</w:t>
      </w:r>
    </w:p>
    <w:p>
      <w:pPr>
        <w:pStyle w:val="Heading1"/>
        <w:numPr>
          <w:ilvl w:val="1"/>
          <w:numId w:val="8"/>
        </w:numPr>
        <w:rPr>
          <w:b w:val="false"/>
          <w:bCs w:val="false"/>
        </w:rPr>
      </w:pPr>
      <w:r>
        <w:rPr>
          <w:b w:val="false"/>
          <w:bCs w:val="false"/>
        </w:rPr>
        <w:t xml:space="preserve">KPL  </w:t>
      </w:r>
    </w:p>
    <w:p>
      <w:pPr>
        <w:pStyle w:val="Heading1"/>
        <w:ind w:hanging="0" w:start="0"/>
        <w:rPr>
          <w:b w:val="false"/>
          <w:bCs w:val="false"/>
        </w:rPr>
      </w:pPr>
      <w:r>
        <w:rPr>
          <w:b w:val="false"/>
          <w:bCs w:val="false"/>
        </w:rPr>
      </w:r>
    </w:p>
    <w:p>
      <w:pPr>
        <w:pStyle w:val="Heading1"/>
        <w:ind w:hanging="0" w:start="0"/>
        <w:rPr>
          <w:b w:val="false"/>
          <w:bCs w:val="false"/>
          <w:u w:val="single"/>
        </w:rPr>
      </w:pPr>
      <w:r>
        <w:rPr>
          <w:b w:val="false"/>
          <w:bCs w:val="false"/>
          <w:u w:val="single"/>
        </w:rPr>
        <w:t xml:space="preserve">Cooperatives </w:t>
      </w:r>
    </w:p>
    <w:p>
      <w:pPr>
        <w:pStyle w:val="Heading1"/>
        <w:numPr>
          <w:ilvl w:val="0"/>
          <w:numId w:val="8"/>
        </w:numPr>
        <w:rPr>
          <w:b w:val="false"/>
          <w:bCs w:val="false"/>
        </w:rPr>
      </w:pPr>
      <w:r>
        <w:rPr>
          <w:b w:val="false"/>
          <w:bCs w:val="false"/>
        </w:rPr>
        <w:t xml:space="preserve">Sunflower Electric Power Corp. </w:t>
      </w:r>
    </w:p>
    <w:p>
      <w:pPr>
        <w:pStyle w:val="Heading1"/>
        <w:numPr>
          <w:ilvl w:val="0"/>
          <w:numId w:val="8"/>
        </w:numPr>
        <w:rPr>
          <w:b w:val="false"/>
          <w:bCs w:val="false"/>
        </w:rPr>
      </w:pPr>
      <w:r>
        <w:rPr>
          <w:b w:val="false"/>
          <w:bCs w:val="false"/>
        </w:rPr>
        <w:t xml:space="preserve">Western Farmers Electric Cooperative </w:t>
      </w:r>
    </w:p>
    <w:p>
      <w:pPr>
        <w:pStyle w:val="Heading1"/>
        <w:ind w:firstLine="75" w:start="0" w:end="0"/>
        <w:rPr>
          <w:b w:val="false"/>
          <w:bCs w:val="false"/>
        </w:rPr>
      </w:pPr>
      <w:r>
        <w:rPr>
          <w:b w:val="false"/>
          <w:bCs w:val="false"/>
        </w:rPr>
      </w:r>
    </w:p>
    <w:p>
      <w:pPr>
        <w:pStyle w:val="Heading1"/>
        <w:ind w:hanging="0" w:start="0"/>
        <w:rPr>
          <w:b w:val="false"/>
          <w:bCs w:val="false"/>
          <w:u w:val="single"/>
        </w:rPr>
      </w:pPr>
      <w:r>
        <w:rPr>
          <w:b w:val="false"/>
          <w:bCs w:val="false"/>
          <w:u w:val="single"/>
        </w:rPr>
        <w:t xml:space="preserve">Municipals  </w:t>
      </w:r>
    </w:p>
    <w:p>
      <w:pPr>
        <w:pStyle w:val="Heading1"/>
        <w:numPr>
          <w:ilvl w:val="0"/>
          <w:numId w:val="8"/>
        </w:numPr>
        <w:rPr>
          <w:b w:val="false"/>
          <w:bCs w:val="false"/>
        </w:rPr>
      </w:pPr>
      <w:r>
        <w:rPr>
          <w:b w:val="false"/>
          <w:bCs w:val="false"/>
        </w:rPr>
        <w:t xml:space="preserve">City of Lafayette, LA  </w:t>
      </w:r>
    </w:p>
    <w:p>
      <w:pPr>
        <w:pStyle w:val="Heading1"/>
        <w:numPr>
          <w:ilvl w:val="0"/>
          <w:numId w:val="8"/>
        </w:numPr>
        <w:rPr>
          <w:b w:val="false"/>
          <w:bCs w:val="false"/>
        </w:rPr>
      </w:pPr>
      <w:r>
        <w:rPr>
          <w:b w:val="false"/>
          <w:bCs w:val="false"/>
        </w:rPr>
        <w:t xml:space="preserve">City Power &amp; Light, Independence, MO (Independence Power &amp; Light) </w:t>
      </w:r>
    </w:p>
    <w:p>
      <w:pPr>
        <w:pStyle w:val="Heading1"/>
        <w:numPr>
          <w:ilvl w:val="0"/>
          <w:numId w:val="8"/>
        </w:numPr>
        <w:rPr>
          <w:b w:val="false"/>
          <w:bCs w:val="false"/>
        </w:rPr>
      </w:pPr>
      <w:r>
        <w:rPr>
          <w:b w:val="false"/>
          <w:bCs w:val="false"/>
        </w:rPr>
        <w:t xml:space="preserve">The Board of Public Utilities, Kansas City, KS  </w:t>
      </w:r>
    </w:p>
    <w:p>
      <w:pPr>
        <w:pStyle w:val="Heading1"/>
        <w:ind w:firstLine="75" w:start="0" w:end="0"/>
        <w:rPr>
          <w:b w:val="false"/>
          <w:bCs w:val="false"/>
        </w:rPr>
      </w:pPr>
      <w:r>
        <w:rPr>
          <w:b w:val="false"/>
          <w:bCs w:val="false"/>
        </w:rPr>
      </w:r>
    </w:p>
    <w:p>
      <w:pPr>
        <w:pStyle w:val="Heading1"/>
        <w:ind w:hanging="0" w:start="0"/>
        <w:rPr>
          <w:b w:val="false"/>
          <w:bCs w:val="false"/>
          <w:u w:val="single"/>
        </w:rPr>
      </w:pPr>
      <w:r>
        <w:rPr>
          <w:b w:val="false"/>
          <w:bCs w:val="false"/>
          <w:u w:val="single"/>
        </w:rPr>
        <w:t>State &amp; Federal Agencies</w:t>
      </w:r>
    </w:p>
    <w:p>
      <w:pPr>
        <w:pStyle w:val="Heading1"/>
        <w:numPr>
          <w:ilvl w:val="0"/>
          <w:numId w:val="8"/>
        </w:numPr>
        <w:rPr>
          <w:b w:val="false"/>
          <w:bCs w:val="false"/>
        </w:rPr>
      </w:pPr>
      <w:r>
        <w:rPr>
          <w:b w:val="false"/>
          <w:bCs w:val="false"/>
        </w:rPr>
        <w:t>Grand River Dam Authority (GRDA)</w:t>
      </w:r>
    </w:p>
    <w:p>
      <w:pPr>
        <w:pStyle w:val="Heading1"/>
        <w:numPr>
          <w:ilvl w:val="0"/>
          <w:numId w:val="8"/>
        </w:numPr>
        <w:rPr>
          <w:b w:val="false"/>
          <w:bCs w:val="false"/>
        </w:rPr>
      </w:pPr>
      <w:r>
        <w:rPr>
          <w:b w:val="false"/>
          <w:bCs w:val="false"/>
        </w:rPr>
        <w:t xml:space="preserve">Louisiana Energy &amp; Power Authority </w:t>
      </w:r>
    </w:p>
    <w:p>
      <w:pPr>
        <w:pStyle w:val="Heading1"/>
        <w:numPr>
          <w:ilvl w:val="0"/>
          <w:numId w:val="8"/>
        </w:numPr>
        <w:rPr>
          <w:b w:val="false"/>
          <w:bCs w:val="false"/>
        </w:rPr>
      </w:pPr>
      <w:r>
        <w:rPr>
          <w:b w:val="false"/>
          <w:bCs w:val="false"/>
        </w:rPr>
        <w:t xml:space="preserve">Southwestern Power Administration  </w:t>
      </w:r>
    </w:p>
    <w:p>
      <w:pPr>
        <w:pStyle w:val="Heading1"/>
        <w:ind w:hanging="0" w:start="0"/>
        <w:rPr>
          <w:b w:val="false"/>
          <w:bCs w:val="false"/>
        </w:rPr>
      </w:pPr>
      <w:r>
        <w:rPr>
          <w:b w:val="false"/>
          <w:bCs w:val="false"/>
        </w:rPr>
      </w:r>
    </w:p>
    <w:p>
      <w:pPr>
        <w:pStyle w:val="Heading1"/>
        <w:ind w:hanging="0" w:start="0"/>
        <w:rPr>
          <w:b w:val="false"/>
          <w:bCs w:val="false"/>
          <w:i/>
          <w:i/>
          <w:iCs/>
          <w:sz w:val="20"/>
        </w:rPr>
      </w:pPr>
      <w:r>
        <w:rPr>
          <w:b w:val="false"/>
          <w:bCs w:val="false"/>
        </w:rPr>
        <w:t>*Note: Although Entergy is a member of SERC, it has indicated its intention to join in the SPP Regional Transmission Organization.</w:t>
      </w:r>
    </w:p>
    <w:p>
      <w:pPr>
        <w:pStyle w:val="Normal"/>
        <w:rPr>
          <w:rFonts w:ascii="Tahoma" w:hAnsi="Tahoma" w:cs="Tahoma"/>
          <w:b/>
          <w:bCs/>
          <w:i/>
          <w:i/>
          <w:iCs/>
          <w:sz w:val="20"/>
        </w:rPr>
      </w:pPr>
      <w:r>
        <w:rPr>
          <w:rFonts w:cs="Tahoma" w:ascii="Tahoma" w:hAnsi="Tahoma"/>
          <w:b/>
          <w:bCs/>
          <w:i/>
          <w:iCs/>
          <w:sz w:val="20"/>
        </w:rPr>
      </w:r>
    </w:p>
    <w:p>
      <w:pPr>
        <w:pStyle w:val="Normal"/>
        <w:rPr>
          <w:rFonts w:ascii="Tahoma" w:hAnsi="Tahoma" w:cs="Tahoma"/>
        </w:rPr>
      </w:pPr>
      <w:r>
        <w:rPr>
          <w:rFonts w:cs="Tahoma" w:ascii="Tahoma" w:hAnsi="Tahoma"/>
          <w:i/>
          <w:iCs/>
          <w:sz w:val="20"/>
        </w:rPr>
        <w:t>Sources: NERC, NERC coordinating councils, FERC; The Energy Authority transmission map rev. 3-27-00.</w:t>
      </w:r>
      <w:r>
        <w:br w:type="page"/>
      </w:r>
    </w:p>
    <w:p>
      <w:pPr>
        <w:pStyle w:val="Normal"/>
        <w:rPr/>
      </w:pPr>
      <w:r>
        <w:rPr>
          <w:rFonts w:cs="Tahoma" w:ascii="Tahoma" w:hAnsi="Tahoma"/>
          <w:b/>
          <w:bCs/>
        </w:rPr>
        <w:t xml:space="preserve">Definition of the SERC hourly index — </w:t>
      </w:r>
      <w:r>
        <w:rPr>
          <w:rFonts w:cs="Tahoma" w:ascii="Tahoma" w:hAnsi="Tahoma"/>
        </w:rPr>
        <w:t xml:space="preserve">All hourly trades for power generated from, or sinking into, the </w:t>
      </w:r>
      <w:r>
        <w:rPr>
          <w:rFonts w:cs="Tahoma" w:ascii="Tahoma" w:hAnsi="Tahoma"/>
          <w:szCs w:val="20"/>
        </w:rPr>
        <w:t>SERC (Southeastern Electric Reliability Council) NERC region, excluding Entergy.*</w:t>
      </w:r>
      <w:r>
        <w:rPr>
          <w:rFonts w:cs="Tahoma" w:ascii="Tahoma" w:hAnsi="Tahoma"/>
        </w:rPr>
        <w:t xml:space="preserve"> Includes merchant generating plants in the region, as well as the following control areas:</w:t>
      </w:r>
    </w:p>
    <w:p>
      <w:pPr>
        <w:pStyle w:val="Normal"/>
        <w:rPr>
          <w:rFonts w:ascii="Tahoma" w:hAnsi="Tahoma" w:cs="Tahoma"/>
          <w:szCs w:val="20"/>
        </w:rPr>
      </w:pPr>
      <w:r>
        <w:rPr>
          <w:rFonts w:cs="Tahoma" w:ascii="Tahoma" w:hAnsi="Tahoma"/>
          <w:szCs w:val="20"/>
        </w:rPr>
      </w:r>
    </w:p>
    <w:p>
      <w:pPr>
        <w:pStyle w:val="Heading1"/>
        <w:ind w:hanging="0" w:start="0"/>
        <w:rPr>
          <w:b w:val="false"/>
          <w:bCs w:val="false"/>
          <w:i/>
          <w:i/>
          <w:iCs/>
          <w:sz w:val="20"/>
        </w:rPr>
      </w:pPr>
      <w:r>
        <w:rPr>
          <w:b w:val="false"/>
          <w:bCs w:val="false"/>
          <w:i/>
          <w:iCs/>
          <w:sz w:val="20"/>
        </w:rPr>
        <w:t xml:space="preserve">*Note: Although Entergy is a member of SERC, it has indicated its intention to join the SPP Regional Transmission Organization. </w:t>
      </w:r>
    </w:p>
    <w:p>
      <w:pPr>
        <w:pStyle w:val="Normal"/>
        <w:rPr>
          <w:rFonts w:ascii="Tahoma" w:hAnsi="Tahoma" w:eastAsia="Tahoma" w:cs="Tahoma"/>
          <w:szCs w:val="20"/>
        </w:rPr>
      </w:pPr>
      <w:r>
        <w:rPr>
          <w:rFonts w:eastAsia="Tahoma" w:cs="Tahoma" w:ascii="Tahoma" w:hAnsi="Tahoma"/>
          <w:szCs w:val="20"/>
        </w:rPr>
        <w:t xml:space="preserve"> </w:t>
      </w:r>
    </w:p>
    <w:p>
      <w:pPr>
        <w:pStyle w:val="Normal"/>
        <w:numPr>
          <w:ilvl w:val="0"/>
          <w:numId w:val="2"/>
        </w:numPr>
        <w:rPr>
          <w:rFonts w:ascii="Tahoma" w:hAnsi="Tahoma" w:cs="Tahoma"/>
          <w:szCs w:val="20"/>
        </w:rPr>
      </w:pPr>
      <w:r>
        <w:rPr>
          <w:rFonts w:cs="Tahoma" w:ascii="Tahoma" w:hAnsi="Tahoma"/>
          <w:szCs w:val="20"/>
        </w:rPr>
        <w:t>Alabama Electric Cooperative, Inc.</w:t>
      </w:r>
    </w:p>
    <w:p>
      <w:pPr>
        <w:pStyle w:val="Normal"/>
        <w:numPr>
          <w:ilvl w:val="0"/>
          <w:numId w:val="2"/>
        </w:numPr>
        <w:rPr>
          <w:rFonts w:ascii="Tahoma" w:hAnsi="Tahoma" w:cs="Tahoma"/>
          <w:szCs w:val="20"/>
        </w:rPr>
      </w:pPr>
      <w:r>
        <w:rPr>
          <w:rFonts w:cs="Tahoma" w:ascii="Tahoma" w:hAnsi="Tahoma"/>
          <w:szCs w:val="20"/>
        </w:rPr>
        <w:t>Associated Electric Cooperative, Inc.</w:t>
      </w:r>
    </w:p>
    <w:p>
      <w:pPr>
        <w:pStyle w:val="Normal"/>
        <w:numPr>
          <w:ilvl w:val="0"/>
          <w:numId w:val="2"/>
        </w:numPr>
        <w:rPr>
          <w:rFonts w:ascii="Tahoma" w:hAnsi="Tahoma" w:cs="Tahoma"/>
          <w:szCs w:val="20"/>
        </w:rPr>
      </w:pPr>
      <w:r>
        <w:rPr>
          <w:rFonts w:cs="Tahoma" w:ascii="Tahoma" w:hAnsi="Tahoma"/>
          <w:szCs w:val="20"/>
        </w:rPr>
        <w:t>Carolina Power &amp; Light Co.</w:t>
      </w:r>
    </w:p>
    <w:p>
      <w:pPr>
        <w:pStyle w:val="Normal"/>
        <w:numPr>
          <w:ilvl w:val="0"/>
          <w:numId w:val="2"/>
        </w:numPr>
        <w:rPr>
          <w:rFonts w:ascii="Tahoma" w:hAnsi="Tahoma" w:cs="Tahoma"/>
          <w:szCs w:val="20"/>
        </w:rPr>
      </w:pPr>
      <w:r>
        <w:rPr>
          <w:rFonts w:cs="Tahoma" w:ascii="Tahoma" w:hAnsi="Tahoma"/>
          <w:szCs w:val="20"/>
        </w:rPr>
        <w:t>Duke Power Co.</w:t>
      </w:r>
    </w:p>
    <w:p>
      <w:pPr>
        <w:pStyle w:val="Normal"/>
        <w:numPr>
          <w:ilvl w:val="0"/>
          <w:numId w:val="2"/>
        </w:numPr>
        <w:rPr>
          <w:rFonts w:ascii="Tahoma" w:hAnsi="Tahoma" w:cs="Tahoma"/>
          <w:szCs w:val="20"/>
        </w:rPr>
      </w:pPr>
      <w:r>
        <w:rPr>
          <w:rFonts w:cs="Tahoma" w:ascii="Tahoma" w:hAnsi="Tahoma"/>
          <w:szCs w:val="20"/>
        </w:rPr>
        <w:t>Louisiana Generating, LLC (formerly Cajun Electric Co-op; now part of NRG Energy, Minneapolis)</w:t>
      </w:r>
    </w:p>
    <w:p>
      <w:pPr>
        <w:pStyle w:val="Normal"/>
        <w:numPr>
          <w:ilvl w:val="0"/>
          <w:numId w:val="2"/>
        </w:numPr>
        <w:rPr>
          <w:rFonts w:ascii="Tahoma" w:hAnsi="Tahoma" w:cs="Tahoma"/>
          <w:szCs w:val="20"/>
        </w:rPr>
      </w:pPr>
      <w:r>
        <w:rPr>
          <w:rFonts w:cs="Tahoma" w:ascii="Tahoma" w:hAnsi="Tahoma"/>
          <w:szCs w:val="20"/>
        </w:rPr>
        <w:t>Santee Cooper (South Carolina Public Service Authority)</w:t>
      </w:r>
    </w:p>
    <w:p>
      <w:pPr>
        <w:pStyle w:val="Normal"/>
        <w:numPr>
          <w:ilvl w:val="0"/>
          <w:numId w:val="2"/>
        </w:numPr>
        <w:rPr>
          <w:rFonts w:ascii="Tahoma" w:hAnsi="Tahoma" w:cs="Tahoma"/>
          <w:szCs w:val="20"/>
        </w:rPr>
      </w:pPr>
      <w:r>
        <w:rPr>
          <w:rFonts w:cs="Tahoma" w:ascii="Tahoma" w:hAnsi="Tahoma"/>
          <w:szCs w:val="20"/>
        </w:rPr>
        <w:t>South Carolina Electric &amp; Gas Co.</w:t>
      </w:r>
    </w:p>
    <w:p>
      <w:pPr>
        <w:pStyle w:val="Heading1"/>
        <w:numPr>
          <w:ilvl w:val="0"/>
          <w:numId w:val="2"/>
        </w:numPr>
        <w:rPr>
          <w:b w:val="false"/>
          <w:bCs w:val="false"/>
          <w:szCs w:val="20"/>
        </w:rPr>
      </w:pPr>
      <w:r>
        <w:rPr>
          <w:b w:val="false"/>
          <w:bCs w:val="false"/>
          <w:szCs w:val="20"/>
        </w:rPr>
        <w:t>Southern Company</w:t>
      </w:r>
    </w:p>
    <w:p>
      <w:pPr>
        <w:pStyle w:val="Normal"/>
        <w:numPr>
          <w:ilvl w:val="1"/>
          <w:numId w:val="2"/>
        </w:numPr>
        <w:rPr>
          <w:rFonts w:ascii="Tahoma" w:hAnsi="Tahoma" w:cs="Tahoma"/>
          <w:szCs w:val="20"/>
        </w:rPr>
      </w:pPr>
      <w:r>
        <w:rPr>
          <w:rFonts w:cs="Tahoma" w:ascii="Tahoma" w:hAnsi="Tahoma"/>
          <w:szCs w:val="20"/>
        </w:rPr>
        <w:t>Alabama Power Co.</w:t>
      </w:r>
    </w:p>
    <w:p>
      <w:pPr>
        <w:pStyle w:val="Normal"/>
        <w:numPr>
          <w:ilvl w:val="1"/>
          <w:numId w:val="2"/>
        </w:numPr>
        <w:rPr>
          <w:rFonts w:ascii="Tahoma" w:hAnsi="Tahoma" w:cs="Tahoma"/>
          <w:szCs w:val="20"/>
        </w:rPr>
      </w:pPr>
      <w:r>
        <w:rPr>
          <w:rFonts w:cs="Tahoma" w:ascii="Tahoma" w:hAnsi="Tahoma"/>
          <w:szCs w:val="20"/>
        </w:rPr>
        <w:t>Georgia Power Co.</w:t>
      </w:r>
    </w:p>
    <w:p>
      <w:pPr>
        <w:pStyle w:val="Normal"/>
        <w:numPr>
          <w:ilvl w:val="1"/>
          <w:numId w:val="2"/>
        </w:numPr>
        <w:rPr>
          <w:rFonts w:ascii="Tahoma" w:hAnsi="Tahoma" w:cs="Tahoma"/>
          <w:szCs w:val="20"/>
        </w:rPr>
      </w:pPr>
      <w:r>
        <w:rPr>
          <w:rFonts w:cs="Tahoma" w:ascii="Tahoma" w:hAnsi="Tahoma"/>
          <w:szCs w:val="20"/>
        </w:rPr>
        <w:t>Gulf Power Co.</w:t>
      </w:r>
    </w:p>
    <w:p>
      <w:pPr>
        <w:pStyle w:val="Normal"/>
        <w:numPr>
          <w:ilvl w:val="1"/>
          <w:numId w:val="2"/>
        </w:numPr>
        <w:rPr>
          <w:rFonts w:ascii="Tahoma" w:hAnsi="Tahoma" w:cs="Tahoma"/>
          <w:szCs w:val="20"/>
        </w:rPr>
      </w:pPr>
      <w:r>
        <w:rPr>
          <w:rFonts w:cs="Tahoma" w:ascii="Tahoma" w:hAnsi="Tahoma"/>
          <w:szCs w:val="20"/>
        </w:rPr>
        <w:t>Mississippi Power Co.</w:t>
      </w:r>
    </w:p>
    <w:p>
      <w:pPr>
        <w:pStyle w:val="Normal"/>
        <w:numPr>
          <w:ilvl w:val="1"/>
          <w:numId w:val="2"/>
        </w:numPr>
        <w:rPr>
          <w:rFonts w:ascii="Tahoma" w:hAnsi="Tahoma" w:cs="Tahoma"/>
          <w:szCs w:val="20"/>
        </w:rPr>
      </w:pPr>
      <w:r>
        <w:rPr>
          <w:rFonts w:cs="Tahoma" w:ascii="Tahoma" w:hAnsi="Tahoma"/>
          <w:szCs w:val="20"/>
        </w:rPr>
        <w:t>Savannah Electric &amp; Power Co.</w:t>
      </w:r>
    </w:p>
    <w:p>
      <w:pPr>
        <w:pStyle w:val="Normal"/>
        <w:numPr>
          <w:ilvl w:val="0"/>
          <w:numId w:val="2"/>
        </w:numPr>
        <w:rPr>
          <w:rFonts w:ascii="Tahoma" w:hAnsi="Tahoma" w:cs="Tahoma"/>
          <w:szCs w:val="20"/>
        </w:rPr>
      </w:pPr>
      <w:r>
        <w:rPr>
          <w:rFonts w:cs="Tahoma" w:ascii="Tahoma" w:hAnsi="Tahoma"/>
          <w:szCs w:val="20"/>
        </w:rPr>
        <w:t>South Mississippi Electric Power Assoc.</w:t>
      </w:r>
    </w:p>
    <w:p>
      <w:pPr>
        <w:pStyle w:val="Heading1"/>
        <w:numPr>
          <w:ilvl w:val="0"/>
          <w:numId w:val="2"/>
        </w:numPr>
        <w:rPr>
          <w:b w:val="false"/>
          <w:bCs w:val="false"/>
          <w:szCs w:val="20"/>
        </w:rPr>
      </w:pPr>
      <w:r>
        <w:rPr>
          <w:b w:val="false"/>
          <w:bCs w:val="false"/>
          <w:szCs w:val="20"/>
        </w:rPr>
        <w:t>Tennessee Valley Authority</w:t>
      </w:r>
    </w:p>
    <w:p>
      <w:pPr>
        <w:pStyle w:val="Heading1"/>
        <w:numPr>
          <w:ilvl w:val="0"/>
          <w:numId w:val="2"/>
        </w:numPr>
        <w:rPr>
          <w:b w:val="false"/>
          <w:bCs w:val="false"/>
          <w:szCs w:val="20"/>
        </w:rPr>
      </w:pPr>
      <w:r>
        <w:rPr>
          <w:b w:val="false"/>
          <w:bCs w:val="false"/>
          <w:szCs w:val="20"/>
        </w:rPr>
        <w:t>Virginia Power</w:t>
      </w:r>
    </w:p>
    <w:p>
      <w:pPr>
        <w:pStyle w:val="Normal"/>
        <w:numPr>
          <w:ilvl w:val="0"/>
          <w:numId w:val="2"/>
        </w:numPr>
        <w:rPr>
          <w:rFonts w:ascii="Tahoma" w:hAnsi="Tahoma" w:cs="Tahoma"/>
          <w:szCs w:val="20"/>
        </w:rPr>
      </w:pPr>
      <w:r>
        <w:rPr>
          <w:rFonts w:cs="Tahoma" w:ascii="Tahoma" w:hAnsi="Tahoma"/>
          <w:szCs w:val="20"/>
        </w:rPr>
        <w:t>Yadkin, Inc.</w:t>
      </w:r>
    </w:p>
    <w:p>
      <w:pPr>
        <w:pStyle w:val="Normal"/>
        <w:rPr>
          <w:rFonts w:ascii="Tahoma" w:hAnsi="Tahoma" w:cs="Tahoma"/>
          <w:szCs w:val="20"/>
        </w:rPr>
      </w:pPr>
      <w:r>
        <w:rPr>
          <w:rFonts w:cs="Tahoma" w:ascii="Tahoma" w:hAnsi="Tahoma"/>
          <w:szCs w:val="20"/>
        </w:rPr>
      </w:r>
    </w:p>
    <w:p>
      <w:pPr>
        <w:pStyle w:val="Heading2"/>
        <w:ind w:hanging="0" w:start="0"/>
        <w:rPr>
          <w:szCs w:val="20"/>
        </w:rPr>
      </w:pPr>
      <w:r>
        <w:rPr>
          <w:szCs w:val="20"/>
        </w:rPr>
        <w:t>Other SERC members</w:t>
      </w:r>
    </w:p>
    <w:p>
      <w:pPr>
        <w:pStyle w:val="Normal"/>
        <w:numPr>
          <w:ilvl w:val="0"/>
          <w:numId w:val="5"/>
        </w:numPr>
        <w:rPr>
          <w:rFonts w:ascii="Tahoma" w:hAnsi="Tahoma" w:cs="Tahoma"/>
          <w:szCs w:val="20"/>
        </w:rPr>
      </w:pPr>
      <w:r>
        <w:rPr>
          <w:rFonts w:cs="Tahoma" w:ascii="Tahoma" w:hAnsi="Tahoma"/>
          <w:szCs w:val="20"/>
        </w:rPr>
        <w:t>Crisp County Power Commission</w:t>
      </w:r>
    </w:p>
    <w:p>
      <w:pPr>
        <w:pStyle w:val="Normal"/>
        <w:numPr>
          <w:ilvl w:val="0"/>
          <w:numId w:val="5"/>
        </w:numPr>
        <w:rPr>
          <w:rFonts w:ascii="Tahoma" w:hAnsi="Tahoma" w:cs="Tahoma"/>
          <w:szCs w:val="20"/>
        </w:rPr>
      </w:pPr>
      <w:r>
        <w:rPr>
          <w:rFonts w:cs="Tahoma" w:ascii="Tahoma" w:hAnsi="Tahoma"/>
          <w:szCs w:val="20"/>
        </w:rPr>
        <w:t>Fayetteville Public Works Commission</w:t>
      </w:r>
    </w:p>
    <w:p>
      <w:pPr>
        <w:pStyle w:val="Normal"/>
        <w:numPr>
          <w:ilvl w:val="0"/>
          <w:numId w:val="5"/>
        </w:numPr>
        <w:rPr>
          <w:rFonts w:ascii="Tahoma" w:hAnsi="Tahoma" w:cs="Tahoma"/>
          <w:szCs w:val="20"/>
        </w:rPr>
      </w:pPr>
      <w:r>
        <w:rPr>
          <w:rFonts w:cs="Tahoma" w:ascii="Tahoma" w:hAnsi="Tahoma"/>
          <w:szCs w:val="20"/>
        </w:rPr>
        <w:t>Municipal Electric Authority of Georgia</w:t>
      </w:r>
    </w:p>
    <w:p>
      <w:pPr>
        <w:pStyle w:val="Normal"/>
        <w:numPr>
          <w:ilvl w:val="0"/>
          <w:numId w:val="5"/>
        </w:numPr>
        <w:rPr>
          <w:rFonts w:ascii="Tahoma" w:hAnsi="Tahoma" w:cs="Tahoma"/>
          <w:szCs w:val="20"/>
        </w:rPr>
      </w:pPr>
      <w:r>
        <w:rPr>
          <w:rFonts w:cs="Tahoma" w:ascii="Tahoma" w:hAnsi="Tahoma"/>
          <w:szCs w:val="20"/>
        </w:rPr>
        <w:t>North Carolina Electric Member Corp.</w:t>
      </w:r>
    </w:p>
    <w:p>
      <w:pPr>
        <w:pStyle w:val="Normal"/>
        <w:numPr>
          <w:ilvl w:val="0"/>
          <w:numId w:val="5"/>
        </w:numPr>
        <w:rPr>
          <w:rFonts w:ascii="Tahoma" w:hAnsi="Tahoma" w:cs="Tahoma"/>
          <w:szCs w:val="20"/>
        </w:rPr>
      </w:pPr>
      <w:r>
        <w:rPr>
          <w:rFonts w:cs="Tahoma" w:ascii="Tahoma" w:hAnsi="Tahoma"/>
          <w:szCs w:val="20"/>
        </w:rPr>
        <w:t>N.C. Eastern Municipal Power Agency</w:t>
      </w:r>
    </w:p>
    <w:p>
      <w:pPr>
        <w:pStyle w:val="Normal"/>
        <w:numPr>
          <w:ilvl w:val="0"/>
          <w:numId w:val="5"/>
        </w:numPr>
        <w:rPr>
          <w:rFonts w:ascii="Tahoma" w:hAnsi="Tahoma" w:cs="Tahoma"/>
          <w:szCs w:val="20"/>
        </w:rPr>
      </w:pPr>
      <w:r>
        <w:rPr>
          <w:rFonts w:cs="Tahoma" w:ascii="Tahoma" w:hAnsi="Tahoma"/>
          <w:szCs w:val="20"/>
        </w:rPr>
        <w:t>N.C. Power Agency #1</w:t>
      </w:r>
    </w:p>
    <w:p>
      <w:pPr>
        <w:pStyle w:val="Normal"/>
        <w:numPr>
          <w:ilvl w:val="0"/>
          <w:numId w:val="5"/>
        </w:numPr>
        <w:rPr>
          <w:rFonts w:ascii="Tahoma" w:hAnsi="Tahoma" w:cs="Tahoma"/>
          <w:szCs w:val="20"/>
        </w:rPr>
      </w:pPr>
      <w:r>
        <w:rPr>
          <w:rFonts w:cs="Tahoma" w:ascii="Tahoma" w:hAnsi="Tahoma"/>
          <w:szCs w:val="20"/>
        </w:rPr>
        <w:t>Oglethorpe Power Corp.</w:t>
      </w:r>
    </w:p>
    <w:p>
      <w:pPr>
        <w:pStyle w:val="Normal"/>
        <w:numPr>
          <w:ilvl w:val="0"/>
          <w:numId w:val="5"/>
        </w:numPr>
        <w:rPr>
          <w:rFonts w:ascii="Tahoma" w:hAnsi="Tahoma" w:cs="Tahoma"/>
          <w:szCs w:val="20"/>
        </w:rPr>
      </w:pPr>
      <w:r>
        <w:rPr>
          <w:rFonts w:cs="Tahoma" w:ascii="Tahoma" w:hAnsi="Tahoma"/>
          <w:szCs w:val="20"/>
        </w:rPr>
        <w:t>Old Dominion Electric Cooperative</w:t>
      </w:r>
    </w:p>
    <w:p>
      <w:pPr>
        <w:pStyle w:val="Normal"/>
        <w:numPr>
          <w:ilvl w:val="0"/>
          <w:numId w:val="5"/>
        </w:numPr>
        <w:rPr>
          <w:rFonts w:ascii="Tahoma" w:hAnsi="Tahoma" w:cs="Tahoma"/>
          <w:szCs w:val="20"/>
        </w:rPr>
      </w:pPr>
      <w:r>
        <w:rPr>
          <w:rFonts w:cs="Tahoma" w:ascii="Tahoma" w:hAnsi="Tahoma"/>
          <w:szCs w:val="20"/>
        </w:rPr>
        <w:t>Sam Rayburn G&amp;T Cooperative</w:t>
      </w:r>
    </w:p>
    <w:p>
      <w:pPr>
        <w:pStyle w:val="Normal"/>
        <w:numPr>
          <w:ilvl w:val="0"/>
          <w:numId w:val="5"/>
        </w:numPr>
        <w:rPr>
          <w:rFonts w:ascii="Tahoma" w:hAnsi="Tahoma" w:cs="Tahoma"/>
          <w:szCs w:val="20"/>
        </w:rPr>
      </w:pPr>
      <w:r>
        <w:rPr>
          <w:rFonts w:cs="Tahoma" w:ascii="Tahoma" w:hAnsi="Tahoma"/>
          <w:szCs w:val="20"/>
        </w:rPr>
        <w:t>Southeastern Power Administration</w:t>
      </w:r>
    </w:p>
    <w:p>
      <w:pPr>
        <w:pStyle w:val="Normal"/>
        <w:numPr>
          <w:ilvl w:val="0"/>
          <w:numId w:val="5"/>
        </w:numPr>
        <w:rPr>
          <w:rFonts w:ascii="Tahoma" w:hAnsi="Tahoma" w:cs="Tahoma"/>
          <w:szCs w:val="20"/>
        </w:rPr>
      </w:pPr>
      <w:r>
        <w:rPr>
          <w:rFonts w:cs="Tahoma" w:ascii="Tahoma" w:hAnsi="Tahoma"/>
          <w:szCs w:val="20"/>
        </w:rPr>
        <w:t>Tapoco, Inc.</w:t>
      </w:r>
    </w:p>
    <w:p>
      <w:pPr>
        <w:pStyle w:val="Heading1"/>
        <w:ind w:hanging="0" w:start="0"/>
        <w:rPr>
          <w:rFonts w:ascii="Tahoma" w:hAnsi="Tahoma" w:cs="Tahoma"/>
          <w:b w:val="false"/>
          <w:bCs w:val="false"/>
          <w:szCs w:val="20"/>
        </w:rPr>
      </w:pPr>
      <w:r>
        <w:rPr>
          <w:rFonts w:cs="Tahoma"/>
          <w:b w:val="false"/>
          <w:bCs w:val="false"/>
          <w:szCs w:val="20"/>
        </w:rPr>
      </w:r>
    </w:p>
    <w:p>
      <w:pPr>
        <w:pStyle w:val="Normal"/>
        <w:rPr>
          <w:rFonts w:ascii="Tahoma" w:hAnsi="Tahoma" w:cs="Tahoma"/>
          <w:b/>
          <w:bCs/>
          <w:sz w:val="20"/>
        </w:rPr>
      </w:pPr>
      <w:r>
        <w:rPr>
          <w:rFonts w:cs="Tahoma" w:ascii="Tahoma" w:hAnsi="Tahoma"/>
          <w:i/>
          <w:iCs/>
          <w:sz w:val="20"/>
        </w:rPr>
        <w:t>Sources: NERC, NERC coordinating councils, FERC; The Energy Authority transmission map rev. 3-27-00.</w:t>
      </w:r>
      <w:r>
        <w:br w:type="page"/>
      </w:r>
    </w:p>
    <w:p>
      <w:pPr>
        <w:pStyle w:val="Normal"/>
        <w:rPr/>
      </w:pPr>
      <w:r>
        <w:rPr>
          <w:rFonts w:cs="Tahoma" w:ascii="Tahoma" w:hAnsi="Tahoma"/>
          <w:b/>
          <w:bCs/>
        </w:rPr>
        <w:t xml:space="preserve">Definition of the ERCOT hourly index — </w:t>
      </w:r>
      <w:r>
        <w:rPr>
          <w:rFonts w:cs="Tahoma" w:ascii="Tahoma" w:hAnsi="Tahoma"/>
        </w:rPr>
        <w:t xml:space="preserve">All hourly trades for power </w:t>
      </w:r>
      <w:r>
        <w:rPr>
          <w:rFonts w:cs="Tahoma" w:ascii="Tahoma" w:hAnsi="Tahoma"/>
          <w:szCs w:val="20"/>
        </w:rPr>
        <w:t>ge</w:t>
      </w:r>
      <w:r>
        <w:rPr>
          <w:rFonts w:cs="Tahoma" w:ascii="Tahoma" w:hAnsi="Tahoma"/>
        </w:rPr>
        <w:t>nerated from, or sinking into, the ERCOT (Electric Reliability Council of Texas) NERC region. Includes merchant generating plants in the region, as well as the following control areas:</w:t>
      </w:r>
    </w:p>
    <w:p>
      <w:pPr>
        <w:pStyle w:val="Normal"/>
        <w:rPr/>
      </w:pPr>
      <w:r>
        <w:rPr>
          <w:rFonts w:cs="Tahoma" w:ascii="Tahoma" w:hAnsi="Tahoma"/>
          <w:i/>
          <w:iCs/>
          <w:sz w:val="18"/>
          <w:szCs w:val="20"/>
        </w:rPr>
        <w:t>(Includes</w:t>
      </w:r>
      <w:r>
        <w:rPr>
          <w:rFonts w:cs="Tahoma" w:ascii="Tahoma" w:hAnsi="Tahoma"/>
          <w:sz w:val="18"/>
          <w:szCs w:val="20"/>
        </w:rPr>
        <w:t xml:space="preserve"> </w:t>
      </w:r>
      <w:r>
        <w:rPr>
          <w:rFonts w:cs="Tahoma" w:ascii="Tahoma" w:hAnsi="Tahoma"/>
          <w:i/>
          <w:iCs/>
          <w:sz w:val="18"/>
          <w:szCs w:val="20"/>
        </w:rPr>
        <w:t>physical G and D physical hourly trades, both northern and southern ERCOT markets.)</w:t>
      </w:r>
    </w:p>
    <w:p>
      <w:pPr>
        <w:pStyle w:val="Normal"/>
        <w:rPr>
          <w:rFonts w:ascii="Tahoma" w:hAnsi="Tahoma" w:cs="Tahoma"/>
          <w:i/>
          <w:i/>
          <w:iCs/>
          <w:sz w:val="18"/>
          <w:szCs w:val="20"/>
        </w:rPr>
      </w:pPr>
      <w:r>
        <w:rPr>
          <w:rFonts w:cs="Tahoma" w:ascii="Tahoma" w:hAnsi="Tahoma"/>
          <w:i/>
          <w:iCs/>
          <w:sz w:val="18"/>
          <w:szCs w:val="20"/>
        </w:rPr>
      </w:r>
    </w:p>
    <w:p>
      <w:pPr>
        <w:pStyle w:val="Heading2"/>
        <w:ind w:hanging="0" w:start="0"/>
        <w:rPr/>
      </w:pPr>
      <w:r>
        <w:rPr/>
        <w:t>Cooperative G&amp;Ts and River Authorities</w:t>
      </w:r>
    </w:p>
    <w:p>
      <w:pPr>
        <w:pStyle w:val="Heading1"/>
        <w:numPr>
          <w:ilvl w:val="0"/>
          <w:numId w:val="7"/>
        </w:numPr>
        <w:rPr>
          <w:b w:val="false"/>
          <w:bCs w:val="false"/>
        </w:rPr>
      </w:pPr>
      <w:r>
        <w:rPr>
          <w:b w:val="false"/>
          <w:bCs w:val="false"/>
        </w:rPr>
        <w:t>Lower Colorado River Authority</w:t>
      </w:r>
    </w:p>
    <w:p>
      <w:pPr>
        <w:pStyle w:val="Normal"/>
        <w:numPr>
          <w:ilvl w:val="0"/>
          <w:numId w:val="7"/>
        </w:numPr>
        <w:rPr>
          <w:rFonts w:ascii="Tahoma" w:hAnsi="Tahoma" w:cs="Tahoma"/>
        </w:rPr>
      </w:pPr>
      <w:r>
        <w:rPr>
          <w:rFonts w:cs="Tahoma" w:ascii="Tahoma" w:hAnsi="Tahoma"/>
        </w:rPr>
        <w:t>Medina Electric Cooperative (South Texas &amp; Medina Coop)</w:t>
      </w:r>
    </w:p>
    <w:p>
      <w:pPr>
        <w:pStyle w:val="Normal"/>
        <w:numPr>
          <w:ilvl w:val="0"/>
          <w:numId w:val="7"/>
        </w:numPr>
        <w:rPr>
          <w:rFonts w:ascii="Tahoma" w:hAnsi="Tahoma" w:cs="Tahoma"/>
        </w:rPr>
      </w:pPr>
      <w:r>
        <w:rPr>
          <w:rFonts w:cs="Tahoma" w:ascii="Tahoma" w:hAnsi="Tahoma"/>
        </w:rPr>
        <w:t>South Texas Electric Cooperative (South Texas &amp; Medina Coop)</w:t>
      </w:r>
    </w:p>
    <w:p>
      <w:pPr>
        <w:pStyle w:val="Normal"/>
        <w:rPr>
          <w:rFonts w:ascii="Tahoma" w:hAnsi="Tahoma" w:cs="Tahoma"/>
        </w:rPr>
      </w:pPr>
      <w:r>
        <w:rPr>
          <w:rFonts w:cs="Tahoma" w:ascii="Tahoma" w:hAnsi="Tahoma"/>
        </w:rPr>
      </w:r>
    </w:p>
    <w:p>
      <w:pPr>
        <w:pStyle w:val="Heading2"/>
        <w:ind w:hanging="0" w:start="0"/>
        <w:rPr/>
      </w:pPr>
      <w:r>
        <w:rPr/>
        <w:t>Municipal G&amp;Ts</w:t>
      </w:r>
    </w:p>
    <w:p>
      <w:pPr>
        <w:pStyle w:val="Normal"/>
        <w:numPr>
          <w:ilvl w:val="0"/>
          <w:numId w:val="3"/>
        </w:numPr>
        <w:rPr>
          <w:rFonts w:ascii="Tahoma" w:hAnsi="Tahoma" w:cs="Tahoma"/>
        </w:rPr>
      </w:pPr>
      <w:r>
        <w:rPr>
          <w:rFonts w:cs="Tahoma" w:ascii="Tahoma" w:hAnsi="Tahoma"/>
        </w:rPr>
        <w:t>Austin Energy (City of Austin)</w:t>
      </w:r>
    </w:p>
    <w:p>
      <w:pPr>
        <w:pStyle w:val="Normal"/>
        <w:numPr>
          <w:ilvl w:val="0"/>
          <w:numId w:val="3"/>
        </w:numPr>
        <w:rPr>
          <w:rFonts w:ascii="Tahoma" w:hAnsi="Tahoma" w:cs="Tahoma"/>
        </w:rPr>
      </w:pPr>
      <w:r>
        <w:rPr>
          <w:rFonts w:cs="Tahoma" w:ascii="Tahoma" w:hAnsi="Tahoma"/>
        </w:rPr>
        <w:t>City Public Service of San Antonio (San Antonio Public Service)</w:t>
      </w:r>
    </w:p>
    <w:p>
      <w:pPr>
        <w:pStyle w:val="Heading1"/>
        <w:numPr>
          <w:ilvl w:val="0"/>
          <w:numId w:val="3"/>
        </w:numPr>
        <w:rPr>
          <w:b w:val="false"/>
          <w:bCs w:val="false"/>
        </w:rPr>
      </w:pPr>
      <w:r>
        <w:rPr>
          <w:b w:val="false"/>
          <w:bCs w:val="false"/>
        </w:rPr>
        <w:t>Texas Municipal Power Agency (Texas Municipal Power Pool)</w:t>
      </w:r>
    </w:p>
    <w:p>
      <w:pPr>
        <w:pStyle w:val="Normal"/>
        <w:numPr>
          <w:ilvl w:val="0"/>
          <w:numId w:val="3"/>
        </w:numPr>
        <w:rPr>
          <w:rFonts w:ascii="Tahoma" w:hAnsi="Tahoma" w:cs="Tahoma"/>
        </w:rPr>
      </w:pPr>
      <w:r>
        <w:rPr>
          <w:rFonts w:cs="Tahoma" w:ascii="Tahoma" w:hAnsi="Tahoma"/>
        </w:rPr>
        <w:t>City of Brownsville (Brownsville Board of Public Utilities)</w:t>
      </w:r>
    </w:p>
    <w:p>
      <w:pPr>
        <w:pStyle w:val="Normal"/>
        <w:rPr>
          <w:rFonts w:ascii="Tahoma" w:hAnsi="Tahoma" w:cs="Tahoma"/>
        </w:rPr>
      </w:pPr>
      <w:r>
        <w:rPr>
          <w:rFonts w:cs="Tahoma" w:ascii="Tahoma" w:hAnsi="Tahoma"/>
        </w:rPr>
      </w:r>
    </w:p>
    <w:p>
      <w:pPr>
        <w:pStyle w:val="Heading2"/>
        <w:ind w:hanging="0" w:start="0"/>
        <w:rPr/>
      </w:pPr>
      <w:r>
        <w:rPr/>
        <w:t>Investor-owned Utilities</w:t>
      </w:r>
    </w:p>
    <w:p>
      <w:pPr>
        <w:pStyle w:val="Normal"/>
        <w:numPr>
          <w:ilvl w:val="0"/>
          <w:numId w:val="6"/>
        </w:numPr>
        <w:rPr>
          <w:rFonts w:ascii="Tahoma" w:hAnsi="Tahoma" w:cs="Tahoma"/>
        </w:rPr>
      </w:pPr>
      <w:r>
        <w:rPr>
          <w:rFonts w:cs="Tahoma" w:ascii="Tahoma" w:hAnsi="Tahoma"/>
        </w:rPr>
        <w:t>Central &amp; Southwest Services (subsid. of AEP)</w:t>
      </w:r>
    </w:p>
    <w:p>
      <w:pPr>
        <w:pStyle w:val="Heading3"/>
        <w:numPr>
          <w:ilvl w:val="1"/>
          <w:numId w:val="6"/>
        </w:numPr>
        <w:rPr>
          <w:b w:val="false"/>
          <w:bCs w:val="false"/>
        </w:rPr>
      </w:pPr>
      <w:r>
        <w:rPr>
          <w:b w:val="false"/>
          <w:bCs w:val="false"/>
        </w:rPr>
        <w:t xml:space="preserve">Central Power &amp; Light </w:t>
      </w:r>
    </w:p>
    <w:p>
      <w:pPr>
        <w:pStyle w:val="Normal"/>
        <w:numPr>
          <w:ilvl w:val="1"/>
          <w:numId w:val="6"/>
        </w:numPr>
        <w:rPr>
          <w:rFonts w:ascii="Tahoma" w:hAnsi="Tahoma" w:cs="Tahoma"/>
        </w:rPr>
      </w:pPr>
      <w:r>
        <w:rPr>
          <w:rFonts w:cs="Tahoma" w:ascii="Tahoma" w:hAnsi="Tahoma"/>
        </w:rPr>
        <w:t xml:space="preserve">West Texas Utilities </w:t>
      </w:r>
    </w:p>
    <w:p>
      <w:pPr>
        <w:pStyle w:val="Normal"/>
        <w:numPr>
          <w:ilvl w:val="0"/>
          <w:numId w:val="6"/>
        </w:numPr>
        <w:rPr>
          <w:rFonts w:ascii="Tahoma" w:hAnsi="Tahoma" w:cs="Tahoma"/>
        </w:rPr>
      </w:pPr>
      <w:r>
        <w:rPr>
          <w:rFonts w:cs="Tahoma" w:ascii="Tahoma" w:hAnsi="Tahoma"/>
        </w:rPr>
        <w:t>Reliant Energy (Houston Power &amp; Light)</w:t>
      </w:r>
    </w:p>
    <w:p>
      <w:pPr>
        <w:pStyle w:val="Normal"/>
        <w:numPr>
          <w:ilvl w:val="0"/>
          <w:numId w:val="6"/>
        </w:numPr>
        <w:rPr>
          <w:rFonts w:ascii="Tahoma" w:hAnsi="Tahoma" w:cs="Tahoma"/>
        </w:rPr>
      </w:pPr>
      <w:r>
        <w:rPr>
          <w:rFonts w:cs="Tahoma" w:ascii="Tahoma" w:hAnsi="Tahoma"/>
        </w:rPr>
        <w:t>TXU</w:t>
      </w:r>
    </w:p>
    <w:p>
      <w:pPr>
        <w:pStyle w:val="Normal"/>
        <w:ind w:start="72" w:end="0"/>
        <w:rPr>
          <w:rFonts w:ascii="Tahoma" w:hAnsi="Tahoma" w:cs="Tahoma"/>
        </w:rPr>
      </w:pPr>
      <w:r>
        <w:rPr>
          <w:rFonts w:cs="Tahoma" w:ascii="Tahoma" w:hAnsi="Tahoma"/>
        </w:rPr>
      </w:r>
    </w:p>
    <w:p>
      <w:pPr>
        <w:pStyle w:val="Normal"/>
        <w:ind w:start="72" w:end="0"/>
        <w:rPr>
          <w:rFonts w:ascii="Tahoma" w:hAnsi="Tahoma" w:cs="Tahoma"/>
          <w:i/>
          <w:i/>
          <w:iCs/>
          <w:sz w:val="20"/>
        </w:rPr>
      </w:pPr>
      <w:r>
        <w:rPr>
          <w:rFonts w:cs="Tahoma" w:ascii="Tahoma" w:hAnsi="Tahoma"/>
          <w:i/>
          <w:iCs/>
          <w:sz w:val="20"/>
        </w:rPr>
        <w:t>Sources: NERC, NERC coordinating councils, FERC; The Energy Authority transmission map rev. 3-27-00.</w:t>
      </w:r>
    </w:p>
    <w:sectPr>
      <w:footerReference w:type="default" r:id="rId4"/>
      <w:type w:val="nextPage"/>
      <w:pgSz w:w="12240" w:h="15840"/>
      <w:pgMar w:left="1800" w:right="1800" w:gutter="0" w:header="0" w:top="1080" w:footer="72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288" w:hanging="216"/>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432"/>
        </w:tabs>
        <w:ind w:start="288" w:hanging="216"/>
      </w:pPr>
      <w:rPr>
        <w:rFonts w:ascii="Symbol" w:hAnsi="Symbol" w:cs="Symbol" w:hint="default"/>
      </w:rPr>
    </w:lvl>
  </w:abstractNum>
  <w:abstractNum w:abstractNumId="4">
    <w:lvl w:ilvl="0">
      <w:start w:val="1"/>
      <w:numFmt w:val="bullet"/>
      <w:lvlText w:val=""/>
      <w:lvlJc w:val="start"/>
      <w:pPr>
        <w:tabs>
          <w:tab w:val="num" w:pos="432"/>
        </w:tabs>
        <w:ind w:start="288" w:hanging="216"/>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432"/>
        </w:tabs>
        <w:ind w:start="288" w:hanging="216"/>
      </w:pPr>
      <w:rPr>
        <w:rFonts w:ascii="Symbol" w:hAnsi="Symbol" w:cs="Symbol" w:hint="default"/>
      </w:rPr>
    </w:lvl>
  </w:abstractNum>
  <w:abstractNum w:abstractNumId="6">
    <w:lvl w:ilvl="0">
      <w:start w:val="1"/>
      <w:numFmt w:val="bullet"/>
      <w:lvlText w:val=""/>
      <w:lvlJc w:val="start"/>
      <w:pPr>
        <w:tabs>
          <w:tab w:val="num" w:pos="432"/>
        </w:tabs>
        <w:ind w:start="288" w:hanging="216"/>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432"/>
        </w:tabs>
        <w:ind w:start="288" w:hanging="216"/>
      </w:pPr>
      <w:rPr>
        <w:rFonts w:ascii="Symbol" w:hAnsi="Symbol" w:cs="Symbol" w:hint="default"/>
      </w:rPr>
    </w:lvl>
  </w:abstractNum>
  <w:abstractNum w:abstractNumId="8">
    <w:lvl w:ilvl="0">
      <w:start w:val="1"/>
      <w:numFmt w:val="bullet"/>
      <w:lvlText w:val=""/>
      <w:lvlJc w:val="start"/>
      <w:pPr>
        <w:tabs>
          <w:tab w:val="num" w:pos="432"/>
        </w:tabs>
        <w:ind w:start="288" w:hanging="216"/>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bullet"/>
      <w:lvlText w:val=""/>
      <w:lvlJc w:val="start"/>
      <w:pPr>
        <w:tabs>
          <w:tab w:val="num" w:pos="432"/>
        </w:tabs>
        <w:ind w:start="288" w:hanging="216"/>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016" w:hanging="216"/>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0">
    <w:lvl w:ilvl="0">
      <w:start w:val="1"/>
      <w:numFmt w:val="bullet"/>
      <w:lvlText w:val=""/>
      <w:lvlJc w:val="start"/>
      <w:pPr>
        <w:tabs>
          <w:tab w:val="num" w:pos="432"/>
        </w:tabs>
        <w:ind w:start="288" w:hanging="216"/>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1">
    <w:lvl w:ilvl="0">
      <w:start w:val="1"/>
      <w:numFmt w:val="bullet"/>
      <w:lvlText w:val=""/>
      <w:lvlJc w:val="start"/>
      <w:pPr>
        <w:tabs>
          <w:tab w:val="num" w:pos="432"/>
        </w:tabs>
        <w:ind w:start="288" w:hanging="216"/>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ahoma" w:hAnsi="Tahoma" w:cs="Tahoma"/>
      <w:b/>
      <w:bCs/>
    </w:rPr>
  </w:style>
  <w:style w:type="paragraph" w:styleId="Heading2">
    <w:name w:val="heading 2"/>
    <w:basedOn w:val="Normal"/>
    <w:next w:val="Normal"/>
    <w:qFormat/>
    <w:pPr>
      <w:keepNext w:val="true"/>
      <w:numPr>
        <w:ilvl w:val="1"/>
        <w:numId w:val="1"/>
      </w:numPr>
      <w:outlineLvl w:val="1"/>
    </w:pPr>
    <w:rPr>
      <w:rFonts w:ascii="Tahoma" w:hAnsi="Tahoma" w:cs="Tahoma"/>
      <w:u w:val="single"/>
    </w:rPr>
  </w:style>
  <w:style w:type="paragraph" w:styleId="Heading3">
    <w:name w:val="heading 3"/>
    <w:basedOn w:val="Normal"/>
    <w:next w:val="Normal"/>
    <w:qFormat/>
    <w:pPr>
      <w:keepNext w:val="true"/>
      <w:numPr>
        <w:ilvl w:val="2"/>
        <w:numId w:val="1"/>
      </w:numPr>
      <w:ind w:hanging="0" w:start="720" w:end="0"/>
      <w:outlineLvl w:val="2"/>
    </w:pPr>
    <w:rPr>
      <w:rFonts w:ascii="Tahoma" w:hAnsi="Tahoma" w:cs="Tahoma"/>
      <w:b/>
      <w:bCs/>
    </w:rPr>
  </w:style>
  <w:style w:type="paragraph" w:styleId="Heading4">
    <w:name w:val="heading 4"/>
    <w:basedOn w:val="Normal"/>
    <w:next w:val="Normal"/>
    <w:qFormat/>
    <w:pPr>
      <w:keepNext w:val="true"/>
      <w:numPr>
        <w:ilvl w:val="3"/>
        <w:numId w:val="1"/>
      </w:numPr>
      <w:autoSpaceDE w:val="false"/>
      <w:jc w:val="center"/>
      <w:outlineLvl w:val="3"/>
    </w:pPr>
    <w:rPr>
      <w:rFonts w:ascii="Arial" w:hAnsi="Arial" w:cs="Arial"/>
      <w:b/>
      <w:bCs/>
      <w:color w:val="000000"/>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5">
    <w:name w:val="WW8Num8z5"/>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Tahoma" w:hAnsi="Tahoma" w:cs="Tahoma"/>
      <w:b/>
      <w:bCs/>
    </w:rPr>
  </w:style>
  <w:style w:type="paragraph" w:styleId="BodyText">
    <w:name w:val="Body Text"/>
    <w:basedOn w:val="Normal"/>
    <w:pPr/>
    <w:rPr>
      <w:rFonts w:ascii="Tahoma" w:hAnsi="Tahoma" w:cs="Tahoma"/>
      <w:i/>
      <w:i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color w:val="000000"/>
      <w:sz w:val="20"/>
      <w:szCs w:val="20"/>
    </w:rPr>
  </w:style>
  <w:style w:type="paragraph" w:styleId="BodyTextIndent">
    <w:name w:val="Body Text Indent"/>
    <w:basedOn w:val="Normal"/>
    <w:pPr>
      <w:ind w:hanging="0" w:start="720" w:end="0"/>
    </w:pPr>
    <w:rPr>
      <w:rFonts w:ascii="Tahoma" w:hAnsi="Tahoma" w:cs="Tahoma"/>
    </w:rPr>
  </w:style>
  <w:style w:type="paragraph" w:styleId="BodyText2">
    <w:name w:val="Body Text 2"/>
    <w:basedOn w:val="Normal"/>
    <w:qFormat/>
    <w:pPr/>
    <w:rPr>
      <w:rFonts w:ascii="Tahoma" w:hAnsi="Tahoma" w:cs="Tahoma"/>
      <w:b/>
      <w:bCs/>
      <w:szCs w:val="20"/>
    </w:rPr>
  </w:style>
  <w:style w:type="paragraph" w:styleId="TableofFigures">
    <w:name w:val="Table of Figures"/>
    <w:basedOn w:val="Normal"/>
    <w:next w:val="Normal"/>
    <w:qFormat/>
    <w:pPr>
      <w:ind w:hanging="480" w:start="4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bobette.riner@ipgdirect.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2001-07-03T19:18:00Z</dcterms:created>
  <dc:creator>bobette riner</dc:creator>
  <dc:description/>
  <dc:language>en-CA</dc:language>
  <cp:lastModifiedBy>RICHHEIDORN</cp:lastModifiedBy>
  <cp:lastPrinted>2001-07-05T15:47:00Z</cp:lastPrinted>
  <dcterms:modified xsi:type="dcterms:W3CDTF">2001-07-05T19:02:00Z</dcterms:modified>
  <cp:revision>56</cp:revision>
  <dc:subject/>
  <dc:title>Sent URL to:</dc:title>
</cp:coreProperties>
</file>