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METHODOLOGY for the HOURLY INDEXES</w:t>
      </w:r>
    </w:p>
    <w:p>
      <w:pPr>
        <w:pStyle w:val="Heading"/>
        <w:rPr/>
      </w:pPr>
      <w:r>
        <w:rPr/>
        <w:t>(updated 3/27/01)</w:t>
      </w:r>
    </w:p>
    <w:p>
      <w:pPr>
        <w:pStyle w:val="Heading"/>
        <w:rPr/>
      </w:pPr>
      <w:r>
        <w:rPr/>
      </w:r>
    </w:p>
    <w:p>
      <w:pPr>
        <w:pStyle w:val="Normal"/>
        <w:rPr/>
      </w:pPr>
      <w:r>
        <w:rPr>
          <w:rFonts w:cs="Tahoma" w:ascii="Tahoma" w:hAnsi="Tahoma"/>
        </w:rPr>
        <w:t>Participants in the TradersNews Hourly Indexes are wholesale power trading entities providing prices and volumes by telephone, fax or e-mail.</w:t>
      </w:r>
      <w:r>
        <w:rPr>
          <w:b/>
          <w:bCs/>
        </w:rPr>
        <w:t xml:space="preserve"> </w:t>
      </w:r>
      <w:r>
        <w:rPr>
          <w:rFonts w:cs="Tahoma" w:ascii="Tahoma" w:hAnsi="Tahoma"/>
        </w:rPr>
        <w:t xml:space="preserve">The table lists the range and weighted average price of trading done for each hour.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Cinergy hub — </w:t>
      </w:r>
      <w:r>
        <w:rPr>
          <w:rFonts w:cs="Tahoma" w:ascii="Tahoma" w:hAnsi="Tahoma"/>
          <w:szCs w:val="20"/>
        </w:rPr>
        <w:t xml:space="preserve">The Cinergy hub is defined as hourly power moving into the Cinergy hub and through the hub. </w:t>
      </w:r>
      <w:r>
        <w:rPr>
          <w:rFonts w:cs="Courier New" w:ascii="Tahoma" w:hAnsi="Tahoma"/>
        </w:rPr>
        <w:t xml:space="preserve">These prices reflect deliveries to the Cinergy hub and all direct ties to that hub, in lower ECAR: Big Rivers Co-op; </w:t>
      </w:r>
      <w:r>
        <w:rPr>
          <w:rFonts w:cs="Tahoma" w:ascii="Tahoma" w:hAnsi="Tahoma"/>
        </w:rPr>
        <w:t xml:space="preserve">East Kentucky Co-op; Hoosier Energy; Louisville Gas &amp; Electric; Southern Indiana Gas &amp; Electric; Hoosier Energy; Northern Indiana Public Service, and Indianapolis Power &amp; Light.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AEP hub — </w:t>
      </w:r>
      <w:r>
        <w:rPr>
          <w:rFonts w:cs="Tahoma" w:ascii="Tahoma" w:hAnsi="Tahoma"/>
          <w:szCs w:val="20"/>
        </w:rPr>
        <w:t xml:space="preserve">The American Electric Power hub is defined as hourly power moving into the AEP hub and through the hub, with a sink in northern ECAR. </w:t>
      </w:r>
      <w:r>
        <w:rPr>
          <w:rFonts w:cs="Courier New" w:ascii="Tahoma" w:hAnsi="Tahoma"/>
        </w:rPr>
        <w:t xml:space="preserve">These prices reflect deliveries to the AEP hub and all direct ties to that hub in northern ECAR, including: Allegheny Power Systems; </w:t>
      </w:r>
      <w:r>
        <w:rPr>
          <w:rFonts w:cs="Tahoma" w:ascii="Tahoma" w:hAnsi="Tahoma"/>
        </w:rPr>
        <w:t xml:space="preserve">Dayton Power &amp; Light; Duquesne Light; East Kentucky Co-op; First Energy; Hoosier Energy; Michigan Electric Coordinated Systems; Northern Indiana Public Service, and Indianapolis Power &amp; Light. </w:t>
      </w:r>
    </w:p>
    <w:p>
      <w:pPr>
        <w:pStyle w:val="Normal"/>
        <w:rPr>
          <w:rFonts w:ascii="Tahoma" w:hAnsi="Tahoma" w:cs="Tahoma"/>
        </w:rPr>
      </w:pPr>
      <w:r>
        <w:rPr>
          <w:rFonts w:cs="Tahoma" w:ascii="Tahoma" w:hAnsi="Tahoma"/>
        </w:rPr>
      </w:r>
    </w:p>
    <w:p>
      <w:pPr>
        <w:pStyle w:val="Normal"/>
        <w:rPr>
          <w:rFonts w:ascii="Tahoma" w:hAnsi="Tahoma" w:cs="Tahoma"/>
          <w:b/>
          <w:bCs/>
          <w:szCs w:val="20"/>
        </w:rPr>
      </w:pPr>
      <w:r>
        <w:rPr>
          <w:rFonts w:cs="Tahoma" w:ascii="Tahoma" w:hAnsi="Tahoma"/>
          <w:b/>
          <w:bCs/>
        </w:rPr>
        <w:t xml:space="preserve">Definition of ComEd/MAIN price region — </w:t>
      </w:r>
      <w:r>
        <w:rPr>
          <w:rFonts w:cs="Tahoma" w:ascii="Tahoma" w:hAnsi="Tahoma"/>
          <w:szCs w:val="20"/>
        </w:rPr>
        <w:t>The ComEd/MAIN hourly index includes hourly power moving into or through the ComEd hub, sinking within MAIN. It also includes deliveries into the direct ties with ComEd that are in MAIN: Illinois Power, CILCO, Ameren (if the source is in MAIN), Alliant East and Wisconsin Electric Power.</w:t>
      </w:r>
    </w:p>
    <w:p>
      <w:pPr>
        <w:pStyle w:val="Normal"/>
        <w:rPr>
          <w:rFonts w:ascii="Tahoma" w:hAnsi="Tahoma" w:cs="Tahoma"/>
          <w:b/>
          <w:bCs/>
          <w:szCs w:val="20"/>
        </w:rPr>
      </w:pPr>
      <w:r>
        <w:rPr>
          <w:rFonts w:cs="Tahoma" w:ascii="Tahoma" w:hAnsi="Tahoma"/>
          <w:b/>
          <w:bCs/>
          <w:szCs w:val="20"/>
        </w:rPr>
      </w:r>
    </w:p>
    <w:p>
      <w:pPr>
        <w:pStyle w:val="Normal"/>
        <w:rPr/>
      </w:pPr>
      <w:r>
        <w:rPr>
          <w:rFonts w:cs="Tahoma" w:ascii="Tahoma" w:hAnsi="Tahoma"/>
          <w:b/>
          <w:bCs/>
        </w:rPr>
        <w:t xml:space="preserve">Definition of the Entergy/SPP price region — </w:t>
      </w:r>
      <w:r>
        <w:rPr>
          <w:rFonts w:cs="Tahoma" w:ascii="Tahoma" w:hAnsi="Tahoma"/>
          <w:szCs w:val="20"/>
        </w:rPr>
        <w:t>The area is defined as hourly power moving into and through the Entergy hub and into SPP. The following service areas include: Southwest Power Pool, Entergy Arkansas, Entergy Louisiana, Entergy Mississippi, Entergy Gulf States, Entergy New Orleans and all utilities within SPP. Power that moves out of SPP into the Entergy hub will also be included. Power going to MAIN, ERCOT or non-Entergy hub service areas in SERC will not be included in the index.</w:t>
      </w:r>
    </w:p>
    <w:p>
      <w:pPr>
        <w:pStyle w:val="Normal"/>
        <w:rPr>
          <w:rFonts w:ascii="Tahoma" w:hAnsi="Tahoma" w:cs="Tahoma"/>
          <w:b/>
          <w:bCs/>
          <w:szCs w:val="20"/>
        </w:rPr>
      </w:pPr>
      <w:r>
        <w:rPr>
          <w:rFonts w:cs="Tahoma" w:ascii="Tahoma" w:hAnsi="Tahoma"/>
          <w:b/>
          <w:bCs/>
          <w:szCs w:val="20"/>
        </w:rPr>
      </w:r>
    </w:p>
    <w:p>
      <w:pPr>
        <w:pStyle w:val="Normal"/>
        <w:rPr/>
      </w:pPr>
      <w:r>
        <w:rPr>
          <w:rFonts w:cs="Tahoma" w:ascii="Tahoma" w:hAnsi="Tahoma"/>
          <w:b/>
          <w:bCs/>
        </w:rPr>
        <w:t xml:space="preserve">Definition of the ERCOT price region — </w:t>
      </w:r>
      <w:r>
        <w:rPr>
          <w:rFonts w:cs="Tahoma" w:ascii="Tahoma" w:hAnsi="Tahoma"/>
          <w:szCs w:val="20"/>
        </w:rPr>
        <w:t xml:space="preserve">ERCOT is defined as physical G and D hourly power moving into any service area within ERCOT, including both the northern and southern markets. Utilities, co-ops, river authorities, municipalities, IPPs or marketers may report hourly deals sinking in ERCOT.  Power moving out of ERCOT will not be included in the index.  </w:t>
      </w:r>
    </w:p>
    <w:p>
      <w:pPr>
        <w:pStyle w:val="Normal"/>
        <w:rPr>
          <w:rFonts w:ascii="Tahoma" w:hAnsi="Tahoma" w:cs="Tahoma"/>
          <w:szCs w:val="20"/>
        </w:rPr>
      </w:pPr>
      <w:r>
        <w:rPr>
          <w:rFonts w:cs="Tahoma" w:ascii="Tahoma" w:hAnsi="Tahoma"/>
          <w:szCs w:val="20"/>
        </w:rPr>
      </w:r>
    </w:p>
    <w:p>
      <w:pPr>
        <w:pStyle w:val="Normal"/>
        <w:rPr/>
      </w:pPr>
      <w:r>
        <w:rPr>
          <w:rFonts w:cs="Tahoma" w:ascii="Tahoma" w:hAnsi="Tahoma"/>
          <w:b/>
          <w:bCs/>
        </w:rPr>
        <w:t>Definition of the SERC price region —</w:t>
      </w:r>
      <w:r>
        <w:rPr>
          <w:rFonts w:cs="Tahoma" w:ascii="Tahoma" w:hAnsi="Tahoma"/>
          <w:szCs w:val="20"/>
        </w:rPr>
        <w:t xml:space="preserve">The SERC hourly index covers hourly power sinking into and within SERC, including the Carolinas, and excluding Virginia and Florida. </w:t>
      </w:r>
      <w:r>
        <w:rPr>
          <w:rFonts w:cs="Courier New" w:ascii="Tahoma" w:hAnsi="Tahoma"/>
        </w:rPr>
        <w:t>These prices also reflect deliveries to the Tennessee Valley Authority, Duke Power and Southern Company hubs and all direct ties to the hubs, within SERC: Southern Mississippi Electric Power, Alabama Electric Power Co-op, Carolina Power &amp; Light (East and West), South Carolina Electric &amp; Gas, Yadkin and Santee Cooper.</w:t>
      </w:r>
    </w:p>
    <w:p>
      <w:pPr>
        <w:pStyle w:val="Normal"/>
        <w:rPr>
          <w:rFonts w:ascii="Tahoma" w:hAnsi="Tahoma" w:cs="Tahoma"/>
          <w:b/>
          <w:bCs/>
        </w:rPr>
      </w:pPr>
      <w:r>
        <w:rPr>
          <w:rFonts w:cs="Tahoma" w:ascii="Tahoma" w:hAnsi="Tahoma"/>
          <w:b/>
          <w:bCs/>
        </w:rPr>
      </w:r>
    </w:p>
    <w:p>
      <w:pPr>
        <w:pStyle w:val="Heading1"/>
        <w:ind w:hanging="0" w:start="0"/>
        <w:rPr/>
      </w:pPr>
      <w:r>
        <w:rPr/>
        <w:t xml:space="preserve">Hours used — </w:t>
      </w:r>
      <w:r>
        <w:rPr>
          <w:b w:val="false"/>
          <w:bCs w:val="false"/>
        </w:rPr>
        <w:t xml:space="preserve">Hours ending 7 through 22. </w:t>
      </w:r>
      <w:r>
        <w:rPr>
          <w:rFonts w:cs="Courier New"/>
          <w:b w:val="false"/>
          <w:bCs w:val="false"/>
        </w:rPr>
        <w:t>All times are Central Prevailing Time (CPT). Neither balance-of-the-day schedules nor hourly pre-schedules will be used for the index.</w:t>
      </w:r>
    </w:p>
    <w:p>
      <w:pPr>
        <w:pStyle w:val="Normal"/>
        <w:rPr>
          <w:rFonts w:ascii="Tahoma" w:hAnsi="Tahoma" w:cs="Tahoma"/>
          <w:b/>
          <w:bCs/>
        </w:rPr>
      </w:pPr>
      <w:r>
        <w:rPr>
          <w:rFonts w:cs="Tahoma" w:ascii="Tahoma" w:hAnsi="Tahoma"/>
          <w:b/>
          <w:bCs/>
        </w:rPr>
      </w:r>
    </w:p>
    <w:p>
      <w:pPr>
        <w:pStyle w:val="Heading1"/>
        <w:ind w:hanging="0" w:start="0"/>
        <w:rPr/>
      </w:pPr>
      <w:r>
        <w:rPr/>
        <w:t xml:space="preserve">Prices used — </w:t>
      </w:r>
      <w:r>
        <w:rPr>
          <w:b w:val="false"/>
          <w:bCs w:val="false"/>
        </w:rPr>
        <w:t>Trades may be either purchases or sales, as long as they fit into the hub or region definition above. 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w:t>
      </w:r>
      <w:r>
        <w:rPr>
          <w:b/>
          <w:bCs/>
        </w:rPr>
        <w:t xml:space="preserve"> </w:t>
      </w:r>
      <w:r>
        <w:rPr>
          <w:rFonts w:cs="Tahoma" w:ascii="Tahoma" w:hAnsi="Tahoma"/>
        </w:rPr>
        <w:t>The weighted-average index for the day factors in the volume done for each on-peak hour that actually traded; no weight is given to hours that reflect indicative prices.</w:t>
      </w:r>
    </w:p>
    <w:p>
      <w:pPr>
        <w:pStyle w:val="Normal"/>
        <w:rPr>
          <w:rFonts w:ascii="Tahoma" w:hAnsi="Tahoma" w:cs="Tahoma"/>
        </w:rPr>
      </w:pPr>
      <w:r>
        <w:rPr>
          <w:rFonts w:cs="Tahoma" w:ascii="Tahoma" w:hAnsi="Tahoma"/>
        </w:rPr>
      </w:r>
    </w:p>
    <w:p>
      <w:pPr>
        <w:pStyle w:val="Heading1"/>
        <w:ind w:hanging="0" w:start="0"/>
        <w:rPr/>
      </w:pPr>
      <w:r>
        <w:rPr/>
        <w:t xml:space="preserve">Indicative pricing — </w:t>
      </w:r>
      <w:r>
        <w:rPr>
          <w:b w:val="false"/>
          <w:bCs w:val="false"/>
        </w:rPr>
        <w:t>If there are no trades reported for any given hour, indicative pricing is provided (in orange). Indicative pricing for this index is derived from the tightest bid/ask spreads for each hour, with both the bids and the offers coming from separate counterparties.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positions and counterparties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Weighted average for the day’s total of on-peak hours</w:t>
      </w:r>
      <w:r>
        <w:rPr/>
        <w:t xml:space="preserve">— </w:t>
      </w:r>
      <w:r>
        <w:rPr>
          <w:b w:val="false"/>
          <w:bCs w:val="false"/>
        </w:rPr>
        <w:t>The weighted average price is a straight average of the 16 weighted-average hourly prices.</w:t>
      </w:r>
    </w:p>
    <w:p>
      <w:pPr>
        <w:pStyle w:val="Normal"/>
        <w:rPr>
          <w:rFonts w:ascii="Tahoma" w:hAnsi="Tahoma" w:cs="Tahoma"/>
          <w:b/>
          <w:bCs/>
        </w:rPr>
      </w:pPr>
      <w:r>
        <w:rPr>
          <w:rFonts w:cs="Tahoma" w:ascii="Tahoma" w:hAnsi="Tahoma"/>
          <w:b/>
          <w:bCs/>
        </w:rPr>
      </w:r>
    </w:p>
    <w:p>
      <w:pPr>
        <w:pStyle w:val="Normal"/>
        <w:rPr>
          <w:rFonts w:ascii="Tahoma" w:hAnsi="Tahoma" w:cs="Tahoma"/>
        </w:rPr>
      </w:pPr>
      <w:r>
        <w:rPr>
          <w:rFonts w:cs="Tahoma" w:ascii="Tahoma" w:hAnsi="Tahoma"/>
        </w:rPr>
        <w:t>For feedback or questions, contact Rachel Steffens, power markets analyst, TradersNews Indexes, at 713/647-8490, or rachel.steffens@ipgdirect.com.</w:t>
      </w:r>
    </w:p>
    <w:p>
      <w:pPr>
        <w:pStyle w:val="Normal"/>
        <w:rPr>
          <w:rFonts w:ascii="Tahoma" w:hAnsi="Tahoma" w:cs="Tahoma"/>
        </w:rPr>
      </w:pPr>
      <w:r>
        <w:rPr>
          <w:rFonts w:cs="Tahoma" w:ascii="Tahoma" w:hAnsi="Tahom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2001-05-16T17:26:00Z</dcterms:created>
  <dc:creator>bobette riner</dc:creator>
  <dc:description/>
  <dc:language>en-CA</dc:language>
  <cp:lastModifiedBy>Rachel Steffens</cp:lastModifiedBy>
  <cp:lastPrinted>2000-10-11T10:27:00Z</cp:lastPrinted>
  <dcterms:modified xsi:type="dcterms:W3CDTF">2001-06-12T13:38:00Z</dcterms:modified>
  <cp:revision>4</cp:revision>
  <dc:subject/>
  <dc:title>Sent URL to:</dc:title>
</cp:coreProperties>
</file>