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48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 xml:space="preserve">Enron Europe All Staff, Enron Executive Committee and Enron </w:t>
            </w:r>
          </w:p>
          <w:p>
            <w:pPr>
              <w:pStyle w:val="To"/>
              <w:rPr/>
            </w:pPr>
            <w:r>
              <w:rPr/>
              <w:t>Vice Presidents and Managing Directors Worldwide</w:t>
            </w:r>
          </w:p>
        </w:tc>
        <w:tc>
          <w:tcPr>
            <w:tcW w:w="990" w:type="dxa"/>
            <w:tcBorders/>
          </w:tcPr>
          <w:p>
            <w:pPr>
              <w:pStyle w:val="Normal"/>
              <w:snapToGrid w:val="false"/>
              <w:ind w:start="-180" w:end="0"/>
              <w:rPr/>
            </w:pPr>
            <w:r>
              <w:rPr/>
            </w:r>
          </w:p>
        </w:tc>
        <w:tc>
          <w:tcPr>
            <w:tcW w:w="265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300" w:hRule="exact"/>
        </w:trPr>
        <w:tc>
          <w:tcPr>
            <w:tcW w:w="708" w:type="dxa"/>
            <w:tcBorders/>
          </w:tcPr>
          <w:p>
            <w:pPr>
              <w:pStyle w:val="Normal"/>
              <w:jc w:val="end"/>
              <w:rPr>
                <w:sz w:val="16"/>
              </w:rPr>
            </w:pPr>
            <w:r>
              <w:rPr>
                <w:sz w:val="16"/>
              </w:rPr>
              <w:t>From:</w:t>
            </w:r>
          </w:p>
        </w:tc>
        <w:tc>
          <w:tcPr>
            <w:tcW w:w="6045" w:type="dxa"/>
            <w:tcBorders/>
          </w:tcPr>
          <w:p>
            <w:pPr>
              <w:pStyle w:val="From"/>
              <w:rPr/>
            </w:pPr>
            <w:r>
              <w:rPr/>
              <w:t>John Sherriff</w:t>
            </w:r>
          </w:p>
        </w:tc>
        <w:tc>
          <w:tcPr>
            <w:tcW w:w="990" w:type="dxa"/>
            <w:tcBorders/>
          </w:tcPr>
          <w:p>
            <w:pPr>
              <w:pStyle w:val="Normal"/>
              <w:ind w:start="-180" w:end="0"/>
              <w:jc w:val="end"/>
              <w:rPr>
                <w:sz w:val="16"/>
              </w:rPr>
            </w:pPr>
            <w:r>
              <w:rPr>
                <w:sz w:val="16"/>
              </w:rPr>
              <w:t>Department:</w:t>
            </w:r>
          </w:p>
        </w:tc>
        <w:tc>
          <w:tcPr>
            <w:tcW w:w="2655" w:type="dxa"/>
            <w:tcBorders/>
          </w:tcPr>
          <w:p>
            <w:pPr>
              <w:pStyle w:val="Department"/>
              <w:rPr/>
            </w:pPr>
            <w:bookmarkStart w:id="0" w:name="From"/>
            <w:bookmarkEnd w:id="0"/>
            <w:r>
              <w:rPr/>
              <w:t>ECT-Europe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b/>
              </w:rPr>
            </w:pPr>
            <w:r>
              <w:rPr>
                <w:b/>
              </w:rPr>
              <w:t>Update on Acquisition and Integration of MG plc</w:t>
            </w:r>
          </w:p>
        </w:tc>
        <w:tc>
          <w:tcPr>
            <w:tcW w:w="990" w:type="dxa"/>
            <w:tcBorders>
              <w:bottom w:val="single" w:sz="12" w:space="0" w:color="000000"/>
            </w:tcBorders>
          </w:tcPr>
          <w:p>
            <w:pPr>
              <w:pStyle w:val="Normal"/>
              <w:ind w:start="-180" w:end="0"/>
              <w:jc w:val="end"/>
              <w:rPr>
                <w:sz w:val="16"/>
              </w:rPr>
            </w:pPr>
            <w:r>
              <w:rPr>
                <w:sz w:val="16"/>
              </w:rPr>
              <w:t>Date:</w:t>
            </w:r>
          </w:p>
        </w:tc>
        <w:tc>
          <w:tcPr>
            <w:tcW w:w="265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Normal"/>
        <w:pBdr>
          <w:top w:val="single" w:sz="4" w:space="1" w:color="000000"/>
        </w:pBdr>
        <w:jc w:val="both"/>
        <w:rPr>
          <w:sz w:val="22"/>
        </w:rPr>
      </w:pPr>
      <w:r>
        <w:rPr>
          <w:sz w:val="22"/>
        </w:rPr>
      </w:r>
    </w:p>
    <w:p>
      <w:pPr>
        <w:pStyle w:val="Normal"/>
        <w:pBdr>
          <w:top w:val="single" w:sz="4" w:space="1" w:color="000000"/>
        </w:pBdr>
        <w:jc w:val="both"/>
        <w:rPr>
          <w:sz w:val="22"/>
        </w:rPr>
      </w:pPr>
      <w:r>
        <w:rPr>
          <w:sz w:val="22"/>
        </w:rPr>
      </w:r>
    </w:p>
    <w:p>
      <w:pPr>
        <w:pStyle w:val="Normal"/>
        <w:pBdr>
          <w:top w:val="single" w:sz="4" w:space="1" w:color="000000"/>
        </w:pBdr>
        <w:jc w:val="both"/>
        <w:rPr>
          <w:sz w:val="22"/>
        </w:rPr>
      </w:pPr>
      <w:r>
        <w:rPr>
          <w:sz w:val="22"/>
        </w:rPr>
        <w:t>By now, most of you are aware that Enron will be acquiring London-based MG Plc, one of the world’s leading metals marketers.  In connection with our on-going activities relating to MG Plc, I thought it would be helpful to provide you with a brief overview of on our future new metals business, to further explain the reasons underlying the acquisition and to update you on the integration team’s accomplishments to date.</w:t>
      </w:r>
    </w:p>
    <w:p>
      <w:pPr>
        <w:pStyle w:val="Normal"/>
        <w:jc w:val="both"/>
        <w:rPr>
          <w:b/>
          <w:i/>
          <w:i/>
          <w:color w:val="000000"/>
          <w:sz w:val="22"/>
        </w:rPr>
      </w:pPr>
      <w:r>
        <w:rPr>
          <w:b/>
          <w:i/>
          <w:color w:val="000000"/>
          <w:sz w:val="22"/>
        </w:rPr>
      </w:r>
    </w:p>
    <w:p>
      <w:pPr>
        <w:pStyle w:val="Normal"/>
        <w:jc w:val="both"/>
        <w:rPr>
          <w:color w:val="000000"/>
          <w:sz w:val="22"/>
        </w:rPr>
      </w:pPr>
      <w:r>
        <w:rPr>
          <w:b/>
          <w:i/>
          <w:color w:val="000000"/>
          <w:sz w:val="22"/>
        </w:rPr>
        <w:t>What is MG Plc?</w:t>
      </w:r>
    </w:p>
    <w:p>
      <w:pPr>
        <w:pStyle w:val="BodyText2"/>
        <w:rPr>
          <w:rFonts w:ascii="Arial" w:hAnsi="Arial" w:cs="Arial"/>
          <w:sz w:val="22"/>
        </w:rPr>
      </w:pPr>
      <w:r>
        <w:rPr>
          <w:rFonts w:cs="Arial" w:ascii="Arial" w:hAnsi="Arial"/>
          <w:sz w:val="22"/>
        </w:rPr>
        <w:t>MG Plc is a leading, independent international metals trading business, which provides a variety of services to the global metals industry. The business dates back to 1881 when it was the German Metallgesellschaft Group and was active in trading metals from its head office in Frankfurt.  Today, MG is one of the world’s top non-ferrous metals brokers and market makers, the world’s leading independent copper merchant and a leading merchant of many other non-ferrous metals.</w:t>
      </w:r>
    </w:p>
    <w:p>
      <w:pPr>
        <w:pStyle w:val="BodyText2"/>
        <w:rPr>
          <w:rFonts w:ascii="Arial" w:hAnsi="Arial" w:cs="Arial"/>
          <w:sz w:val="22"/>
        </w:rPr>
      </w:pPr>
      <w:r>
        <w:rPr>
          <w:rFonts w:cs="Arial" w:ascii="Arial" w:hAnsi="Arial"/>
          <w:sz w:val="22"/>
        </w:rPr>
      </w:r>
    </w:p>
    <w:p>
      <w:pPr>
        <w:pStyle w:val="BodyText2"/>
        <w:rPr>
          <w:rFonts w:ascii="Arial" w:hAnsi="Arial" w:cs="Arial"/>
          <w:sz w:val="22"/>
        </w:rPr>
      </w:pPr>
      <w:r>
        <w:rPr>
          <w:rFonts w:cs="Arial" w:ascii="Arial" w:hAnsi="Arial"/>
          <w:sz w:val="22"/>
        </w:rPr>
        <w:t>MG is comprised of two core areas of expertise, the Financial Services and Merchanting Divisions.  The Financial Services Division was formed in 1970 to provide market-making and trading services to the MG’s physical metals trading business through futures trading as a member of the London Metal Exchange and, at a later date, as a member of COMEX in New York.  In the late 1980s, as a result of London’s growing leading role in the metals industry, MG established a merchant trading office in London.  In 1986, MG developed its warehousing division with the acquisition of Henry Bath.  In 1999, the Merchanting and Financial Services Divisions, including warehousing, were combined into a single company, which was floated on the London Stock Exchange.  Currently, MG’s core trading offices are located in London and New York with warehouse operations in Liverpool, Humberside, Rotterdam, New Orleans, New Haven, and Singapore. It has merchanting offices in Lima, Santiago, Los Angeles, Chicago, Stockholm, Cologne, Hamburg, Frankfurt, New Delhi, Shanghai, Beijing, Hong Kong, Seoul, Tokyo and Melbourne.</w:t>
      </w:r>
    </w:p>
    <w:p>
      <w:pPr>
        <w:pStyle w:val="Normal"/>
        <w:jc w:val="both"/>
        <w:rPr>
          <w:rFonts w:ascii="Arial" w:hAnsi="Arial" w:cs="Arial"/>
          <w:color w:val="000000"/>
          <w:sz w:val="22"/>
        </w:rPr>
      </w:pPr>
      <w:r>
        <w:rPr>
          <w:rFonts w:cs="Arial"/>
          <w:color w:val="000000"/>
          <w:sz w:val="22"/>
        </w:rPr>
      </w:r>
    </w:p>
    <w:p>
      <w:pPr>
        <w:pStyle w:val="Normal"/>
        <w:jc w:val="both"/>
        <w:rPr>
          <w:color w:val="000000"/>
          <w:sz w:val="22"/>
        </w:rPr>
      </w:pPr>
      <w:r>
        <w:rPr>
          <w:b/>
          <w:i/>
          <w:color w:val="000000"/>
          <w:sz w:val="22"/>
        </w:rPr>
        <w:t>What does the Merchanting Division do?</w:t>
      </w:r>
    </w:p>
    <w:p>
      <w:pPr>
        <w:pStyle w:val="BodyText"/>
        <w:rPr>
          <w:rFonts w:ascii="Arial" w:hAnsi="Arial" w:cs="Arial"/>
          <w:color w:val="000000"/>
          <w:sz w:val="22"/>
        </w:rPr>
      </w:pPr>
      <w:r>
        <w:rPr>
          <w:rFonts w:cs="Arial" w:ascii="Arial" w:hAnsi="Arial"/>
          <w:color w:val="000000"/>
          <w:sz w:val="22"/>
        </w:rPr>
        <w:t>The Merchanting Division is the world’s leading independent copper merchant, one of the top three independent merchants of copper concentrates and nickel and one of the leading European merchants of recycled non-ferrous metals. The division also trades in other non-ferrous metals on the London Metals Exchange (LME), including lead, tin, zinc, aluminium and brass.</w:t>
      </w:r>
    </w:p>
    <w:p>
      <w:pPr>
        <w:pStyle w:val="Normal"/>
        <w:jc w:val="both"/>
        <w:rPr>
          <w:rFonts w:ascii="Arial" w:hAnsi="Arial" w:cs="Arial"/>
          <w:color w:val="000000"/>
          <w:sz w:val="22"/>
        </w:rPr>
      </w:pPr>
      <w:r>
        <w:rPr>
          <w:rFonts w:cs="Arial"/>
          <w:color w:val="000000"/>
          <w:sz w:val="22"/>
        </w:rPr>
      </w:r>
    </w:p>
    <w:p>
      <w:pPr>
        <w:pStyle w:val="Normal"/>
        <w:jc w:val="both"/>
        <w:rPr>
          <w:color w:val="000000"/>
          <w:sz w:val="22"/>
        </w:rPr>
      </w:pPr>
      <w:r>
        <w:rPr>
          <w:color w:val="000000"/>
          <w:sz w:val="22"/>
        </w:rPr>
        <w:t>The Merchanting Division engages in the following main activities:</w:t>
      </w:r>
    </w:p>
    <w:p>
      <w:pPr>
        <w:pStyle w:val="Normal"/>
        <w:jc w:val="both"/>
        <w:rPr>
          <w:color w:val="000000"/>
          <w:sz w:val="22"/>
        </w:rPr>
      </w:pPr>
      <w:r>
        <w:rPr>
          <w:color w:val="000000"/>
          <w:sz w:val="22"/>
        </w:rPr>
      </w:r>
    </w:p>
    <w:p>
      <w:pPr>
        <w:pStyle w:val="Normal"/>
        <w:numPr>
          <w:ilvl w:val="0"/>
          <w:numId w:val="13"/>
        </w:numPr>
        <w:jc w:val="both"/>
        <w:rPr>
          <w:i/>
          <w:i/>
          <w:color w:val="000000"/>
          <w:sz w:val="22"/>
        </w:rPr>
      </w:pPr>
      <w:r>
        <w:rPr>
          <w:i/>
          <w:color w:val="000000"/>
          <w:sz w:val="22"/>
        </w:rPr>
        <w:t>Merchanting of Non-ferrous Metals</w:t>
      </w:r>
      <w:r>
        <w:rPr>
          <w:color w:val="000000"/>
          <w:sz w:val="22"/>
        </w:rPr>
        <w:t xml:space="preserve"> – MG trades as a principal with producers and consumers, buying and selling non-ferrous metals and concentrates (particularly copper, aluminium and nickel), exchanging qualities and locations and lending and borrowing metals.</w:t>
      </w:r>
    </w:p>
    <w:p>
      <w:pPr>
        <w:pStyle w:val="Normal"/>
        <w:numPr>
          <w:ilvl w:val="0"/>
          <w:numId w:val="15"/>
        </w:numPr>
        <w:jc w:val="both"/>
        <w:rPr>
          <w:i/>
          <w:i/>
          <w:color w:val="000000"/>
          <w:sz w:val="22"/>
        </w:rPr>
      </w:pPr>
      <w:r>
        <w:rPr>
          <w:i/>
          <w:color w:val="000000"/>
          <w:sz w:val="22"/>
        </w:rPr>
        <w:t>Global Stockholding</w:t>
      </w:r>
      <w:r>
        <w:rPr>
          <w:color w:val="000000"/>
          <w:sz w:val="22"/>
        </w:rPr>
        <w:t xml:space="preserve"> – MG holds stocks of non-ferrous metals at warehouses around the world.</w:t>
      </w:r>
    </w:p>
    <w:p>
      <w:pPr>
        <w:pStyle w:val="Normal"/>
        <w:numPr>
          <w:ilvl w:val="0"/>
          <w:numId w:val="8"/>
        </w:numPr>
        <w:jc w:val="both"/>
        <w:rPr>
          <w:color w:val="000000"/>
          <w:sz w:val="22"/>
        </w:rPr>
      </w:pPr>
      <w:r>
        <w:rPr>
          <w:i/>
          <w:color w:val="000000"/>
          <w:sz w:val="22"/>
        </w:rPr>
        <w:t>Merchanting of Recycled Metal</w:t>
      </w:r>
      <w:r>
        <w:rPr>
          <w:color w:val="000000"/>
          <w:sz w:val="22"/>
        </w:rPr>
        <w:t xml:space="preserve"> – MG trades as a principal with suppliers and consumers of non-ferrous metal for recycling.</w:t>
      </w:r>
    </w:p>
    <w:p>
      <w:pPr>
        <w:pStyle w:val="Normal"/>
        <w:numPr>
          <w:ilvl w:val="0"/>
          <w:numId w:val="16"/>
        </w:numPr>
        <w:jc w:val="both"/>
        <w:rPr>
          <w:color w:val="000000"/>
          <w:sz w:val="22"/>
        </w:rPr>
      </w:pPr>
      <w:r>
        <w:rPr>
          <w:i/>
          <w:color w:val="000000"/>
          <w:sz w:val="22"/>
        </w:rPr>
        <w:t>Terminal Market Operations</w:t>
      </w:r>
      <w:r>
        <w:rPr>
          <w:color w:val="000000"/>
          <w:sz w:val="22"/>
        </w:rPr>
        <w:t xml:space="preserve"> – MG participates in the LME and COMEX using hedging, arbitrage and position management to support its merchanting activity.</w:t>
      </w:r>
    </w:p>
    <w:p>
      <w:pPr>
        <w:pStyle w:val="Normal"/>
        <w:jc w:val="both"/>
        <w:rPr>
          <w:i/>
          <w:i/>
          <w:color w:val="000000"/>
          <w:sz w:val="22"/>
        </w:rPr>
      </w:pPr>
      <w:r>
        <w:rPr>
          <w:i/>
          <w:color w:val="000000"/>
          <w:sz w:val="22"/>
        </w:rPr>
      </w:r>
    </w:p>
    <w:p>
      <w:pPr>
        <w:pStyle w:val="Normal"/>
        <w:jc w:val="both"/>
        <w:rPr>
          <w:i/>
          <w:i/>
          <w:color w:val="000000"/>
          <w:sz w:val="22"/>
        </w:rPr>
      </w:pPr>
      <w:r>
        <w:rPr>
          <w:i/>
          <w:color w:val="000000"/>
          <w:sz w:val="22"/>
        </w:rPr>
      </w:r>
    </w:p>
    <w:p>
      <w:pPr>
        <w:pStyle w:val="Normal"/>
        <w:jc w:val="both"/>
        <w:rPr>
          <w:color w:val="000000"/>
          <w:sz w:val="22"/>
        </w:rPr>
      </w:pPr>
      <w:r>
        <w:rPr>
          <w:color w:val="000000"/>
          <w:sz w:val="22"/>
        </w:rPr>
      </w:r>
    </w:p>
    <w:p>
      <w:pPr>
        <w:pStyle w:val="Normal"/>
        <w:jc w:val="both"/>
        <w:rPr>
          <w:b/>
          <w:i/>
          <w:i/>
          <w:color w:val="000000"/>
          <w:sz w:val="22"/>
        </w:rPr>
      </w:pPr>
      <w:r>
        <w:rPr>
          <w:b/>
          <w:i/>
          <w:color w:val="000000"/>
          <w:sz w:val="22"/>
        </w:rPr>
      </w:r>
    </w:p>
    <w:p>
      <w:pPr>
        <w:pStyle w:val="Normal"/>
        <w:jc w:val="both"/>
        <w:rPr>
          <w:b/>
          <w:i/>
          <w:i/>
          <w:color w:val="000000"/>
          <w:sz w:val="22"/>
        </w:rPr>
      </w:pPr>
      <w:r>
        <w:rPr>
          <w:b/>
          <w:i/>
          <w:color w:val="000000"/>
          <w:sz w:val="22"/>
        </w:rPr>
      </w:r>
    </w:p>
    <w:p>
      <w:pPr>
        <w:pStyle w:val="Normal"/>
        <w:jc w:val="both"/>
        <w:rPr>
          <w:i/>
          <w:i/>
          <w:color w:val="000000"/>
          <w:sz w:val="22"/>
        </w:rPr>
      </w:pPr>
      <w:r>
        <w:rPr>
          <w:b/>
          <w:i/>
          <w:color w:val="000000"/>
          <w:sz w:val="22"/>
        </w:rPr>
        <w:t>What does the Financial Services Division do?</w:t>
      </w:r>
    </w:p>
    <w:p>
      <w:pPr>
        <w:pStyle w:val="Normal"/>
        <w:jc w:val="both"/>
        <w:rPr>
          <w:color w:val="000000"/>
          <w:sz w:val="22"/>
        </w:rPr>
      </w:pPr>
      <w:r>
        <w:rPr>
          <w:color w:val="000000"/>
          <w:sz w:val="22"/>
        </w:rPr>
        <w:t>The Financial Services Division is one of the leading LME members and, based on the volume of LME metals stored, is one of the leading LME metals warehousing businesses.</w:t>
      </w:r>
    </w:p>
    <w:p>
      <w:pPr>
        <w:pStyle w:val="Normal"/>
        <w:jc w:val="both"/>
        <w:rPr>
          <w:color w:val="000000"/>
          <w:sz w:val="22"/>
        </w:rPr>
      </w:pPr>
      <w:r>
        <w:rPr>
          <w:color w:val="000000"/>
          <w:sz w:val="22"/>
        </w:rPr>
      </w:r>
    </w:p>
    <w:p>
      <w:pPr>
        <w:pStyle w:val="Normal"/>
        <w:jc w:val="both"/>
        <w:rPr>
          <w:color w:val="000000"/>
          <w:sz w:val="22"/>
        </w:rPr>
      </w:pPr>
      <w:r>
        <w:rPr>
          <w:color w:val="000000"/>
          <w:sz w:val="22"/>
        </w:rPr>
        <w:t>The Financial Services Division engages in the following main activities:</w:t>
      </w:r>
    </w:p>
    <w:p>
      <w:pPr>
        <w:pStyle w:val="Normal"/>
        <w:jc w:val="both"/>
        <w:rPr>
          <w:color w:val="000000"/>
          <w:sz w:val="22"/>
        </w:rPr>
      </w:pPr>
      <w:r>
        <w:rPr>
          <w:color w:val="000000"/>
          <w:sz w:val="22"/>
        </w:rPr>
      </w:r>
    </w:p>
    <w:p>
      <w:pPr>
        <w:pStyle w:val="Normal"/>
        <w:numPr>
          <w:ilvl w:val="0"/>
          <w:numId w:val="3"/>
        </w:numPr>
        <w:jc w:val="both"/>
        <w:rPr>
          <w:color w:val="000000"/>
          <w:sz w:val="22"/>
        </w:rPr>
      </w:pPr>
      <w:r>
        <w:rPr>
          <w:i/>
          <w:color w:val="000000"/>
          <w:sz w:val="22"/>
        </w:rPr>
        <w:t>Brokerage Activities</w:t>
      </w:r>
      <w:r>
        <w:rPr>
          <w:color w:val="000000"/>
          <w:sz w:val="22"/>
        </w:rPr>
        <w:t xml:space="preserve"> – MG executes orders as a broker for clients in LME and COMEX contracts.</w:t>
      </w:r>
    </w:p>
    <w:p>
      <w:pPr>
        <w:pStyle w:val="Normal"/>
        <w:numPr>
          <w:ilvl w:val="0"/>
          <w:numId w:val="3"/>
        </w:numPr>
        <w:jc w:val="both"/>
        <w:rPr>
          <w:color w:val="000000"/>
          <w:sz w:val="22"/>
        </w:rPr>
      </w:pPr>
      <w:r>
        <w:rPr>
          <w:i/>
          <w:color w:val="000000"/>
          <w:sz w:val="22"/>
        </w:rPr>
        <w:t>Market-Making</w:t>
      </w:r>
      <w:r>
        <w:rPr>
          <w:color w:val="000000"/>
          <w:sz w:val="22"/>
        </w:rPr>
        <w:t xml:space="preserve"> – MG is a market-maker for both futures and options contracts and COMEX and OTC contracts.</w:t>
      </w:r>
    </w:p>
    <w:p>
      <w:pPr>
        <w:pStyle w:val="Normal"/>
        <w:numPr>
          <w:ilvl w:val="0"/>
          <w:numId w:val="2"/>
        </w:numPr>
        <w:jc w:val="both"/>
        <w:rPr>
          <w:color w:val="000000"/>
          <w:sz w:val="22"/>
        </w:rPr>
      </w:pPr>
      <w:r>
        <w:rPr>
          <w:i/>
          <w:color w:val="000000"/>
          <w:sz w:val="22"/>
        </w:rPr>
        <w:t>Warehousing</w:t>
      </w:r>
      <w:r>
        <w:rPr>
          <w:color w:val="000000"/>
          <w:sz w:val="22"/>
        </w:rPr>
        <w:t xml:space="preserve"> – MG stores metals and other goods in eleven locations in Europe, the United States and Asia.</w:t>
      </w:r>
    </w:p>
    <w:p>
      <w:pPr>
        <w:pStyle w:val="Normal"/>
        <w:jc w:val="both"/>
        <w:rPr>
          <w:color w:val="000000"/>
          <w:sz w:val="22"/>
        </w:rPr>
      </w:pPr>
      <w:r>
        <w:rPr>
          <w:color w:val="000000"/>
          <w:sz w:val="22"/>
        </w:rPr>
      </w:r>
    </w:p>
    <w:p>
      <w:pPr>
        <w:pStyle w:val="Normal"/>
        <w:jc w:val="both"/>
        <w:rPr>
          <w:color w:val="808080"/>
          <w:sz w:val="22"/>
        </w:rPr>
      </w:pPr>
      <w:r>
        <w:rPr>
          <w:color w:val="000000"/>
          <w:sz w:val="22"/>
        </w:rPr>
        <w:t>MG has also begun to prepare to trade non-ferrous metals using the internet as its platform.  On 10</w:t>
      </w:r>
      <w:r>
        <w:rPr>
          <w:color w:val="000000"/>
          <w:sz w:val="22"/>
          <w:vertAlign w:val="superscript"/>
        </w:rPr>
        <w:t>th</w:t>
      </w:r>
      <w:r>
        <w:rPr>
          <w:color w:val="000000"/>
          <w:sz w:val="22"/>
        </w:rPr>
        <w:t xml:space="preserve"> February, MG announced the formation of a joint venture with Internet Capital Group, Inc. and Safeguard International Fund, L.P. to develop an internet marketplace for trading non-ferrous metals. The joint venture, called EMETRA, intends to establish a world-wide business-to-business, e-commerce trading platform for the non-ferrous metals markets, including physical trading and the trading of futures and options contracts.</w:t>
      </w:r>
    </w:p>
    <w:p>
      <w:pPr>
        <w:pStyle w:val="Heading2"/>
        <w:ind w:hanging="0" w:start="0"/>
        <w:rPr>
          <w:rFonts w:ascii="Arial" w:hAnsi="Arial" w:cs="Arial"/>
          <w:b w:val="false"/>
          <w:color w:val="808080"/>
          <w:sz w:val="22"/>
        </w:rPr>
      </w:pPr>
      <w:r>
        <w:rPr>
          <w:rFonts w:cs="Arial" w:ascii="Arial" w:hAnsi="Arial"/>
          <w:b w:val="false"/>
          <w:color w:val="808080"/>
          <w:sz w:val="22"/>
        </w:rPr>
      </w:r>
    </w:p>
    <w:p>
      <w:pPr>
        <w:pStyle w:val="Normal"/>
        <w:jc w:val="both"/>
        <w:rPr>
          <w:b/>
          <w:i/>
          <w:i/>
          <w:sz w:val="22"/>
        </w:rPr>
      </w:pPr>
      <w:r>
        <w:rPr>
          <w:b/>
          <w:i/>
          <w:sz w:val="22"/>
        </w:rPr>
        <w:t>Why is Enron acquiring MG?</w:t>
      </w:r>
    </w:p>
    <w:p>
      <w:pPr>
        <w:pStyle w:val="BodyText"/>
        <w:rPr>
          <w:rFonts w:ascii="Arial" w:hAnsi="Arial" w:cs="Arial"/>
          <w:color w:val="000000"/>
          <w:sz w:val="22"/>
        </w:rPr>
      </w:pPr>
      <w:r>
        <w:rPr>
          <w:rFonts w:cs="Arial" w:ascii="Arial" w:hAnsi="Arial"/>
          <w:color w:val="000000"/>
          <w:sz w:val="22"/>
        </w:rPr>
        <w:t>Enron is committed to expanding its position as a global leader in wholesale markets. By expanding into new wholesale markets, such as non-ferrous metals, Enron expects to leverage its wholesale expertise and will be able to offer customers new products and solutions to address their business needs which link different commodities and inputs.</w:t>
      </w:r>
    </w:p>
    <w:p>
      <w:pPr>
        <w:pStyle w:val="Normal"/>
        <w:jc w:val="both"/>
        <w:rPr>
          <w:rFonts w:ascii="Arial" w:hAnsi="Arial" w:cs="Arial"/>
          <w:color w:val="000000"/>
          <w:sz w:val="22"/>
        </w:rPr>
      </w:pPr>
      <w:r>
        <w:rPr>
          <w:rFonts w:cs="Arial"/>
          <w:color w:val="000000"/>
          <w:sz w:val="22"/>
        </w:rPr>
      </w:r>
    </w:p>
    <w:p>
      <w:pPr>
        <w:pStyle w:val="Normal"/>
        <w:jc w:val="both"/>
        <w:rPr>
          <w:color w:val="000000"/>
          <w:sz w:val="22"/>
        </w:rPr>
      </w:pPr>
      <w:r>
        <w:rPr>
          <w:color w:val="000000"/>
          <w:sz w:val="22"/>
        </w:rPr>
        <w:t>MG will provide Enron with a number of important benefits.  At the same time, Enron expects that MG will significantly benefit from its association with Enron.  Some of the benefits we envisage include:</w:t>
      </w:r>
    </w:p>
    <w:p>
      <w:pPr>
        <w:pStyle w:val="Normal"/>
        <w:jc w:val="both"/>
        <w:rPr>
          <w:color w:val="000000"/>
          <w:sz w:val="22"/>
        </w:rPr>
      </w:pPr>
      <w:r>
        <w:rPr>
          <w:color w:val="000000"/>
          <w:sz w:val="22"/>
        </w:rPr>
      </w:r>
    </w:p>
    <w:p>
      <w:pPr>
        <w:pStyle w:val="Normal"/>
        <w:numPr>
          <w:ilvl w:val="0"/>
          <w:numId w:val="6"/>
        </w:numPr>
        <w:jc w:val="both"/>
        <w:rPr>
          <w:color w:val="000000"/>
          <w:sz w:val="22"/>
        </w:rPr>
      </w:pPr>
      <w:r>
        <w:rPr>
          <w:color w:val="000000"/>
          <w:sz w:val="22"/>
        </w:rPr>
        <w:t>The opportunity to combine Enron’s core competencies in trading, finance and origination with MG’s global position in trading non-ferrous metals.</w:t>
      </w:r>
    </w:p>
    <w:p>
      <w:pPr>
        <w:pStyle w:val="Normal"/>
        <w:jc w:val="both"/>
        <w:rPr>
          <w:color w:val="000000"/>
          <w:sz w:val="22"/>
        </w:rPr>
      </w:pPr>
      <w:r>
        <w:rPr>
          <w:color w:val="000000"/>
          <w:sz w:val="22"/>
        </w:rPr>
      </w:r>
    </w:p>
    <w:p>
      <w:pPr>
        <w:pStyle w:val="Normal"/>
        <w:numPr>
          <w:ilvl w:val="0"/>
          <w:numId w:val="12"/>
        </w:numPr>
        <w:jc w:val="both"/>
        <w:rPr>
          <w:color w:val="000000"/>
          <w:sz w:val="22"/>
        </w:rPr>
      </w:pPr>
      <w:r>
        <w:rPr>
          <w:color w:val="000000"/>
          <w:sz w:val="22"/>
        </w:rPr>
        <w:t>The ability for both Enron and MG to access new clients, particularly in the United States and Europe.</w:t>
      </w:r>
    </w:p>
    <w:p>
      <w:pPr>
        <w:pStyle w:val="Normal"/>
        <w:jc w:val="both"/>
        <w:rPr>
          <w:color w:val="000000"/>
          <w:sz w:val="22"/>
        </w:rPr>
      </w:pPr>
      <w:r>
        <w:rPr>
          <w:color w:val="000000"/>
          <w:sz w:val="22"/>
        </w:rPr>
      </w:r>
    </w:p>
    <w:p>
      <w:pPr>
        <w:pStyle w:val="Normal"/>
        <w:numPr>
          <w:ilvl w:val="0"/>
          <w:numId w:val="12"/>
        </w:numPr>
        <w:jc w:val="both"/>
        <w:rPr>
          <w:color w:val="000000"/>
          <w:sz w:val="22"/>
        </w:rPr>
      </w:pPr>
      <w:r>
        <w:rPr>
          <w:color w:val="000000"/>
          <w:sz w:val="22"/>
        </w:rPr>
        <w:t>The ability to cross-market both existing products and new products such as bundled products that offer combined metals and power outsourcing.</w:t>
      </w:r>
    </w:p>
    <w:p>
      <w:pPr>
        <w:pStyle w:val="Normal"/>
        <w:jc w:val="both"/>
        <w:rPr>
          <w:color w:val="000000"/>
          <w:sz w:val="22"/>
        </w:rPr>
      </w:pPr>
      <w:r>
        <w:rPr>
          <w:color w:val="000000"/>
          <w:sz w:val="22"/>
        </w:rPr>
      </w:r>
    </w:p>
    <w:p>
      <w:pPr>
        <w:pStyle w:val="Normal"/>
        <w:numPr>
          <w:ilvl w:val="0"/>
          <w:numId w:val="14"/>
        </w:numPr>
        <w:jc w:val="both"/>
        <w:rPr>
          <w:color w:val="000000"/>
          <w:sz w:val="22"/>
        </w:rPr>
      </w:pPr>
      <w:r>
        <w:rPr>
          <w:color w:val="000000"/>
          <w:sz w:val="22"/>
        </w:rPr>
        <w:t>The ability to leverage the opportunities available to MG by increasing its financial strength and the resources available to it.</w:t>
      </w:r>
    </w:p>
    <w:p>
      <w:pPr>
        <w:pStyle w:val="Normal"/>
        <w:jc w:val="both"/>
        <w:rPr>
          <w:color w:val="000000"/>
          <w:sz w:val="22"/>
        </w:rPr>
      </w:pPr>
      <w:r>
        <w:rPr>
          <w:color w:val="000000"/>
          <w:sz w:val="22"/>
        </w:rPr>
      </w:r>
    </w:p>
    <w:p>
      <w:pPr>
        <w:pStyle w:val="Normal"/>
        <w:numPr>
          <w:ilvl w:val="0"/>
          <w:numId w:val="14"/>
        </w:numPr>
        <w:jc w:val="both"/>
        <w:rPr>
          <w:color w:val="000000"/>
          <w:sz w:val="22"/>
        </w:rPr>
      </w:pPr>
      <w:r>
        <w:rPr>
          <w:color w:val="000000"/>
          <w:sz w:val="22"/>
        </w:rPr>
        <w:t>The chance to overlay the EnronOnline business-model on the metals industry to increase liquidity and contract market share.</w:t>
      </w:r>
    </w:p>
    <w:p>
      <w:pPr>
        <w:pStyle w:val="Normal"/>
        <w:jc w:val="both"/>
        <w:rPr>
          <w:color w:val="000000"/>
          <w:sz w:val="22"/>
        </w:rPr>
      </w:pPr>
      <w:r>
        <w:rPr>
          <w:color w:val="000000"/>
          <w:sz w:val="22"/>
        </w:rPr>
      </w:r>
    </w:p>
    <w:p>
      <w:pPr>
        <w:pStyle w:val="Normal"/>
        <w:jc w:val="both"/>
        <w:rPr>
          <w:sz w:val="22"/>
        </w:rPr>
      </w:pPr>
      <w:r>
        <w:rPr>
          <w:b/>
          <w:i/>
          <w:sz w:val="22"/>
        </w:rPr>
        <w:t>What remains to be done?</w:t>
      </w:r>
    </w:p>
    <w:p>
      <w:pPr>
        <w:pStyle w:val="Normal"/>
        <w:jc w:val="both"/>
        <w:rPr>
          <w:color w:val="000000"/>
          <w:sz w:val="22"/>
          <w:lang w:val="en-AU" w:eastAsia="en-US"/>
        </w:rPr>
      </w:pPr>
      <w:r>
        <w:rPr>
          <w:color w:val="000000"/>
          <w:sz w:val="22"/>
          <w:lang w:val="en-AU" w:eastAsia="en-US"/>
        </w:rPr>
        <w:t>Merging the business operations of two entities, even highly motivated companies such as Enron and MG, has been and will continue to be a formidable and daunting exercise.  Having a shared vision facilitates rapid integration, but there are many complicated and complex tasks that remain.  During the conditional offer period, Enron and MG are taking steps to prepare for a seamless and non-disruptive integration of our respective operations.  Ideally, when Enron’s offer to buy all MG shares becomes unconditional (15 July 2000 is the current target date), the two can hit the ground with their feet running.</w:t>
      </w:r>
    </w:p>
    <w:p>
      <w:pPr>
        <w:pStyle w:val="Normal"/>
        <w:jc w:val="both"/>
        <w:rPr>
          <w:color w:val="000000"/>
          <w:sz w:val="22"/>
          <w:lang w:val="en-AU" w:eastAsia="en-US"/>
        </w:rPr>
      </w:pPr>
      <w:r>
        <w:rPr>
          <w:color w:val="000000"/>
          <w:sz w:val="22"/>
          <w:lang w:val="en-AU" w:eastAsia="en-US"/>
        </w:rPr>
      </w:r>
    </w:p>
    <w:p>
      <w:pPr>
        <w:pStyle w:val="Normal"/>
        <w:jc w:val="both"/>
        <w:rPr>
          <w:color w:val="000000"/>
          <w:sz w:val="22"/>
          <w:lang w:val="en-AU" w:eastAsia="en-US"/>
        </w:rPr>
      </w:pPr>
      <w:r>
        <w:rPr>
          <w:color w:val="000000"/>
          <w:sz w:val="22"/>
          <w:lang w:val="en-AU" w:eastAsia="en-US"/>
        </w:rPr>
        <w:t>In the short term, a number of things must be accomplished to facilitate that smooth transition.  Most importantly, in order to ensure that the deal goes forward, Enron and MG will work to remove the remaining conditions to Enron’s offer, including obtaining the shareholder approvals from all shareholders as well as obtaining relevant regulatory consents.</w:t>
      </w:r>
    </w:p>
    <w:p>
      <w:pPr>
        <w:pStyle w:val="Normal"/>
        <w:jc w:val="both"/>
        <w:rPr>
          <w:color w:val="000000"/>
          <w:sz w:val="22"/>
          <w:lang w:val="en-AU" w:eastAsia="en-US"/>
        </w:rPr>
      </w:pPr>
      <w:r>
        <w:rPr>
          <w:color w:val="000000"/>
          <w:sz w:val="22"/>
          <w:lang w:val="en-AU" w:eastAsia="en-US"/>
        </w:rPr>
      </w:r>
    </w:p>
    <w:p>
      <w:pPr>
        <w:pStyle w:val="Normal"/>
        <w:jc w:val="both"/>
        <w:rPr>
          <w:color w:val="000000"/>
          <w:sz w:val="22"/>
          <w:lang w:val="en-AU" w:eastAsia="en-US"/>
        </w:rPr>
      </w:pPr>
      <w:r>
        <w:rPr>
          <w:color w:val="000000"/>
          <w:sz w:val="22"/>
          <w:lang w:val="en-AU" w:eastAsia="en-US"/>
        </w:rPr>
      </w:r>
    </w:p>
    <w:p>
      <w:pPr>
        <w:pStyle w:val="Normal"/>
        <w:jc w:val="both"/>
        <w:rPr>
          <w:color w:val="000000"/>
          <w:sz w:val="22"/>
          <w:lang w:val="en-AU" w:eastAsia="en-US"/>
        </w:rPr>
      </w:pPr>
      <w:r>
        <w:rPr>
          <w:color w:val="000000"/>
          <w:sz w:val="22"/>
          <w:lang w:val="en-AU" w:eastAsia="en-US"/>
        </w:rPr>
      </w:r>
    </w:p>
    <w:p>
      <w:pPr>
        <w:pStyle w:val="Normal"/>
        <w:jc w:val="both"/>
        <w:rPr>
          <w:color w:val="000000"/>
          <w:sz w:val="22"/>
          <w:lang w:val="en-AU" w:eastAsia="en-US"/>
        </w:rPr>
      </w:pPr>
      <w:r>
        <w:rPr>
          <w:color w:val="000000"/>
          <w:sz w:val="22"/>
          <w:lang w:val="en-AU" w:eastAsia="en-US"/>
        </w:rPr>
      </w:r>
    </w:p>
    <w:p>
      <w:pPr>
        <w:pStyle w:val="Normal"/>
        <w:jc w:val="both"/>
        <w:rPr>
          <w:color w:val="000000"/>
          <w:sz w:val="22"/>
          <w:lang w:val="en-AU" w:eastAsia="en-US"/>
        </w:rPr>
      </w:pPr>
      <w:r>
        <w:rPr>
          <w:color w:val="000000"/>
          <w:sz w:val="22"/>
          <w:lang w:val="en-AU" w:eastAsia="en-US"/>
        </w:rPr>
      </w:r>
    </w:p>
    <w:p>
      <w:pPr>
        <w:pStyle w:val="Normal"/>
        <w:jc w:val="both"/>
        <w:rPr>
          <w:color w:val="000000"/>
          <w:sz w:val="22"/>
          <w:lang w:val="en-AU" w:eastAsia="en-US"/>
        </w:rPr>
      </w:pPr>
      <w:r>
        <w:rPr>
          <w:color w:val="000000"/>
          <w:sz w:val="22"/>
          <w:lang w:val="en-AU" w:eastAsia="en-US"/>
        </w:rPr>
        <w:t>A number of other steps must be taken, however, during the first phase of our integration timetable to ensure that everything stays on track.  Integration activities will focus on four primary aspects of our operations: commercial matters, financial matters, middle and back office issues; and, most importantly, on the employees of both organisations.  Some of the most important goals relating to each of these areas are:</w:t>
      </w:r>
    </w:p>
    <w:p>
      <w:pPr>
        <w:pStyle w:val="Normal"/>
        <w:jc w:val="both"/>
        <w:rPr>
          <w:color w:val="000000"/>
          <w:sz w:val="22"/>
          <w:lang w:val="en-AU" w:eastAsia="en-US"/>
        </w:rPr>
      </w:pPr>
      <w:r>
        <w:rPr>
          <w:color w:val="000000"/>
          <w:sz w:val="22"/>
          <w:lang w:val="en-AU" w:eastAsia="en-US"/>
        </w:rPr>
      </w:r>
    </w:p>
    <w:p>
      <w:pPr>
        <w:pStyle w:val="Heading3"/>
        <w:jc w:val="both"/>
        <w:rPr>
          <w:rFonts w:ascii="Arial" w:hAnsi="Arial" w:cs="Arial"/>
          <w:sz w:val="22"/>
        </w:rPr>
      </w:pPr>
      <w:r>
        <w:rPr>
          <w:rFonts w:cs="Arial" w:ascii="Arial" w:hAnsi="Arial"/>
          <w:sz w:val="22"/>
        </w:rPr>
        <w:t>Commercial</w:t>
      </w:r>
    </w:p>
    <w:p>
      <w:pPr>
        <w:pStyle w:val="Normal"/>
        <w:numPr>
          <w:ilvl w:val="0"/>
          <w:numId w:val="7"/>
        </w:numPr>
        <w:tabs>
          <w:tab w:val="left" w:pos="540" w:leader="none"/>
          <w:tab w:val="left" w:pos="1080" w:leader="none"/>
        </w:tabs>
        <w:ind w:hanging="360" w:start="420" w:end="0"/>
        <w:jc w:val="both"/>
        <w:rPr>
          <w:color w:val="000000"/>
          <w:sz w:val="22"/>
          <w:lang w:val="en-AU" w:eastAsia="en-US"/>
        </w:rPr>
      </w:pPr>
      <w:r>
        <w:rPr>
          <w:color w:val="000000"/>
          <w:sz w:val="22"/>
          <w:lang w:val="en-AU" w:eastAsia="en-US"/>
        </w:rPr>
        <w:t>Developing physical metal contracts suitable for listing on EnronOnline and installing necessary communication and technology links to facilitate data transfers and information flows between MG and Enron.</w:t>
      </w:r>
    </w:p>
    <w:p>
      <w:pPr>
        <w:pStyle w:val="Normal"/>
        <w:numPr>
          <w:ilvl w:val="0"/>
          <w:numId w:val="7"/>
        </w:numPr>
        <w:tabs>
          <w:tab w:val="left" w:pos="540" w:leader="none"/>
          <w:tab w:val="left" w:pos="1080" w:leader="none"/>
        </w:tabs>
        <w:ind w:hanging="360" w:start="420" w:end="0"/>
        <w:jc w:val="both"/>
        <w:rPr>
          <w:color w:val="000000"/>
          <w:sz w:val="22"/>
          <w:lang w:val="en-AU" w:eastAsia="en-US"/>
        </w:rPr>
      </w:pPr>
      <w:r>
        <w:rPr>
          <w:color w:val="000000"/>
          <w:sz w:val="22"/>
          <w:lang w:val="en-AU" w:eastAsia="en-US"/>
        </w:rPr>
        <w:t>Preparing a joint venture management plan for MG's interest in EMETRA that is consistent with Enron’s goal of listing physical metal contracts on EnronOnline.</w:t>
      </w:r>
    </w:p>
    <w:p>
      <w:pPr>
        <w:pStyle w:val="Normal"/>
        <w:numPr>
          <w:ilvl w:val="0"/>
          <w:numId w:val="7"/>
        </w:numPr>
        <w:tabs>
          <w:tab w:val="left" w:pos="540" w:leader="none"/>
          <w:tab w:val="left" w:pos="1080" w:leader="none"/>
        </w:tabs>
        <w:ind w:hanging="360" w:start="420" w:end="0"/>
        <w:jc w:val="both"/>
        <w:rPr>
          <w:color w:val="000000"/>
          <w:sz w:val="22"/>
          <w:lang w:val="en-AU" w:eastAsia="en-US"/>
        </w:rPr>
      </w:pPr>
      <w:r>
        <w:rPr>
          <w:color w:val="000000"/>
          <w:sz w:val="22"/>
          <w:lang w:val="en-AU" w:eastAsia="en-US"/>
        </w:rPr>
        <w:t>Identifying opportunities to</w:t>
      </w:r>
    </w:p>
    <w:p>
      <w:pPr>
        <w:pStyle w:val="Normal"/>
        <w:numPr>
          <w:ilvl w:val="0"/>
          <w:numId w:val="17"/>
        </w:numPr>
        <w:jc w:val="both"/>
        <w:rPr>
          <w:color w:val="000000"/>
          <w:sz w:val="22"/>
          <w:lang w:val="en-AU" w:eastAsia="en-US"/>
        </w:rPr>
      </w:pPr>
      <w:r>
        <w:rPr>
          <w:color w:val="000000"/>
          <w:sz w:val="22"/>
          <w:lang w:val="en-AU" w:eastAsia="en-US"/>
        </w:rPr>
        <w:t>combine Enron's core competencies in trading, finance, and origination with MG's global position in trading non-ferrous metals;</w:t>
      </w:r>
    </w:p>
    <w:p>
      <w:pPr>
        <w:pStyle w:val="Normal"/>
        <w:numPr>
          <w:ilvl w:val="0"/>
          <w:numId w:val="17"/>
        </w:numPr>
        <w:jc w:val="both"/>
        <w:rPr>
          <w:color w:val="000000"/>
          <w:sz w:val="22"/>
          <w:lang w:val="en-AU" w:eastAsia="en-US"/>
        </w:rPr>
      </w:pPr>
      <w:r>
        <w:rPr>
          <w:color w:val="000000"/>
          <w:sz w:val="22"/>
          <w:lang w:val="en-AU" w:eastAsia="en-US"/>
        </w:rPr>
        <w:t>leverage MG’s position by increasing its financial strength and resources available to it;</w:t>
      </w:r>
    </w:p>
    <w:p>
      <w:pPr>
        <w:pStyle w:val="Normal"/>
        <w:numPr>
          <w:ilvl w:val="0"/>
          <w:numId w:val="17"/>
        </w:numPr>
        <w:jc w:val="both"/>
        <w:rPr>
          <w:color w:val="000000"/>
          <w:sz w:val="22"/>
          <w:lang w:val="en-AU" w:eastAsia="en-US"/>
        </w:rPr>
      </w:pPr>
      <w:r>
        <w:rPr>
          <w:color w:val="000000"/>
          <w:sz w:val="22"/>
          <w:lang w:val="en-AU" w:eastAsia="en-US"/>
        </w:rPr>
        <w:t>cross-market both existing and new products to Enron and MG customers, particularly in the US and Europe; and</w:t>
      </w:r>
    </w:p>
    <w:p>
      <w:pPr>
        <w:pStyle w:val="Normal"/>
        <w:numPr>
          <w:ilvl w:val="0"/>
          <w:numId w:val="17"/>
        </w:numPr>
        <w:jc w:val="both"/>
        <w:rPr>
          <w:color w:val="000000"/>
          <w:sz w:val="22"/>
          <w:lang w:val="en-AU" w:eastAsia="en-US"/>
        </w:rPr>
      </w:pPr>
      <w:r>
        <w:rPr>
          <w:color w:val="000000"/>
          <w:sz w:val="22"/>
          <w:lang w:val="en-AU" w:eastAsia="en-US"/>
        </w:rPr>
        <w:t>grow MG's metal trading franchise.</w:t>
      </w:r>
    </w:p>
    <w:p>
      <w:pPr>
        <w:pStyle w:val="Normal"/>
        <w:ind w:start="720" w:end="0"/>
        <w:jc w:val="both"/>
        <w:rPr>
          <w:color w:val="000000"/>
          <w:sz w:val="22"/>
          <w:lang w:val="en-AU" w:eastAsia="en-US"/>
        </w:rPr>
      </w:pPr>
      <w:r>
        <w:rPr>
          <w:color w:val="000000"/>
          <w:sz w:val="22"/>
          <w:lang w:val="en-AU" w:eastAsia="en-US"/>
        </w:rPr>
      </w:r>
    </w:p>
    <w:p>
      <w:pPr>
        <w:pStyle w:val="Heading3"/>
        <w:jc w:val="both"/>
        <w:rPr>
          <w:rFonts w:ascii="Arial" w:hAnsi="Arial" w:cs="Arial"/>
          <w:sz w:val="22"/>
        </w:rPr>
      </w:pPr>
      <w:r>
        <w:rPr>
          <w:rFonts w:cs="Arial" w:ascii="Arial" w:hAnsi="Arial"/>
          <w:sz w:val="22"/>
        </w:rPr>
        <w:t>Financial</w:t>
      </w:r>
    </w:p>
    <w:p>
      <w:pPr>
        <w:pStyle w:val="Normal"/>
        <w:numPr>
          <w:ilvl w:val="0"/>
          <w:numId w:val="10"/>
        </w:numPr>
        <w:jc w:val="both"/>
        <w:rPr>
          <w:color w:val="000000"/>
          <w:sz w:val="22"/>
          <w:lang w:val="en-AU" w:eastAsia="en-US"/>
        </w:rPr>
      </w:pPr>
      <w:r>
        <w:rPr>
          <w:color w:val="000000"/>
          <w:sz w:val="22"/>
          <w:lang w:val="en-AU" w:eastAsia="en-US"/>
        </w:rPr>
        <w:t>Obtaining waivers from MG's banks in respect of change of control in loan or other agreements.</w:t>
      </w:r>
    </w:p>
    <w:p>
      <w:pPr>
        <w:pStyle w:val="Normal"/>
        <w:numPr>
          <w:ilvl w:val="0"/>
          <w:numId w:val="10"/>
        </w:numPr>
        <w:jc w:val="both"/>
        <w:rPr>
          <w:color w:val="000000"/>
          <w:sz w:val="22"/>
          <w:lang w:val="en-AU" w:eastAsia="en-US"/>
        </w:rPr>
      </w:pPr>
      <w:r>
        <w:rPr>
          <w:color w:val="000000"/>
          <w:sz w:val="22"/>
          <w:lang w:val="en-AU" w:eastAsia="en-US"/>
        </w:rPr>
        <w:t>Preparing plans to integrate cash management functions and putting in place funding arrangements for August 2000 onwards.</w:t>
      </w:r>
    </w:p>
    <w:p>
      <w:pPr>
        <w:pStyle w:val="Normal"/>
        <w:numPr>
          <w:ilvl w:val="0"/>
          <w:numId w:val="11"/>
        </w:numPr>
        <w:jc w:val="both"/>
        <w:rPr>
          <w:color w:val="000000"/>
          <w:sz w:val="22"/>
          <w:lang w:val="en-AU" w:eastAsia="en-US"/>
        </w:rPr>
      </w:pPr>
      <w:r>
        <w:rPr>
          <w:color w:val="000000"/>
          <w:sz w:val="22"/>
          <w:lang w:val="en-AU" w:eastAsia="en-US"/>
        </w:rPr>
        <w:t>Preparing plans to arrange large-scale inventory securitisation to reduce balance sheet debt before year-end.</w:t>
      </w:r>
    </w:p>
    <w:p>
      <w:pPr>
        <w:pStyle w:val="Normal"/>
        <w:jc w:val="both"/>
        <w:rPr>
          <w:color w:val="000000"/>
          <w:sz w:val="22"/>
          <w:lang w:val="en-AU" w:eastAsia="en-US"/>
        </w:rPr>
      </w:pPr>
      <w:r>
        <w:rPr>
          <w:color w:val="000000"/>
          <w:sz w:val="22"/>
          <w:lang w:val="en-AU" w:eastAsia="en-US"/>
        </w:rPr>
      </w:r>
    </w:p>
    <w:p>
      <w:pPr>
        <w:pStyle w:val="Heading3"/>
        <w:jc w:val="both"/>
        <w:rPr>
          <w:rFonts w:ascii="Arial" w:hAnsi="Arial" w:cs="Arial"/>
          <w:sz w:val="22"/>
        </w:rPr>
      </w:pPr>
      <w:r>
        <w:rPr>
          <w:rFonts w:cs="Arial" w:ascii="Arial" w:hAnsi="Arial"/>
          <w:sz w:val="22"/>
        </w:rPr>
        <w:t>Middle and Back Office</w:t>
      </w:r>
    </w:p>
    <w:p>
      <w:pPr>
        <w:pStyle w:val="Normal"/>
        <w:numPr>
          <w:ilvl w:val="0"/>
          <w:numId w:val="18"/>
        </w:numPr>
        <w:jc w:val="both"/>
        <w:rPr>
          <w:color w:val="000000"/>
          <w:sz w:val="22"/>
          <w:lang w:val="en-AU" w:eastAsia="en-US"/>
        </w:rPr>
      </w:pPr>
      <w:r>
        <w:rPr>
          <w:color w:val="000000"/>
          <w:sz w:val="22"/>
          <w:lang w:val="en-AU" w:eastAsia="en-US"/>
        </w:rPr>
        <w:t>Preparing financial information necessary to understand and maximise integration benefits including, pro-forma consolidated financial statements; profit and loss budgets for the third and fourth quarters of 2000; and integration budgets.</w:t>
      </w:r>
    </w:p>
    <w:p>
      <w:pPr>
        <w:pStyle w:val="Normal"/>
        <w:numPr>
          <w:ilvl w:val="0"/>
          <w:numId w:val="18"/>
        </w:numPr>
        <w:jc w:val="both"/>
        <w:rPr>
          <w:color w:val="000000"/>
          <w:sz w:val="22"/>
          <w:lang w:val="en-AU" w:eastAsia="en-US"/>
        </w:rPr>
      </w:pPr>
      <w:r>
        <w:rPr>
          <w:color w:val="000000"/>
          <w:sz w:val="22"/>
          <w:lang w:val="en-AU" w:eastAsia="en-US"/>
        </w:rPr>
        <w:t>Determining the feasibility of integrating accounting systems (AS400, SAP).</w:t>
      </w:r>
    </w:p>
    <w:p>
      <w:pPr>
        <w:pStyle w:val="Normal"/>
        <w:numPr>
          <w:ilvl w:val="0"/>
          <w:numId w:val="18"/>
        </w:numPr>
        <w:jc w:val="both"/>
        <w:rPr>
          <w:color w:val="000000"/>
          <w:sz w:val="22"/>
          <w:lang w:val="en-AU" w:eastAsia="en-US"/>
        </w:rPr>
      </w:pPr>
      <w:r>
        <w:rPr>
          <w:color w:val="000000"/>
          <w:sz w:val="22"/>
          <w:lang w:val="en-AU" w:eastAsia="en-US"/>
        </w:rPr>
        <w:t xml:space="preserve">Assessing  MG's core trading and risk profiles and developing plans to incorporate risk profiles in MG's metals books into Enron systems.  </w:t>
      </w:r>
    </w:p>
    <w:p>
      <w:pPr>
        <w:pStyle w:val="Normal"/>
        <w:numPr>
          <w:ilvl w:val="0"/>
          <w:numId w:val="5"/>
        </w:numPr>
        <w:jc w:val="both"/>
        <w:rPr>
          <w:color w:val="000000"/>
          <w:sz w:val="22"/>
          <w:lang w:val="en-AU" w:eastAsia="en-US"/>
        </w:rPr>
      </w:pPr>
      <w:r>
        <w:rPr>
          <w:color w:val="000000"/>
          <w:sz w:val="22"/>
          <w:lang w:val="en-AU" w:eastAsia="en-US"/>
        </w:rPr>
        <w:t>Evaluating IT systems and infra-structure at all MG office + warehouse locations and preparing budgets and programmes to provide MG staff with access to Enron IT systems and applications.</w:t>
      </w:r>
    </w:p>
    <w:p>
      <w:pPr>
        <w:pStyle w:val="Normal"/>
        <w:jc w:val="both"/>
        <w:rPr>
          <w:color w:val="000000"/>
          <w:sz w:val="22"/>
          <w:lang w:val="en-AU" w:eastAsia="en-US"/>
        </w:rPr>
      </w:pPr>
      <w:r>
        <w:rPr>
          <w:color w:val="000000"/>
          <w:sz w:val="22"/>
          <w:lang w:val="en-AU" w:eastAsia="en-US"/>
        </w:rPr>
      </w:r>
    </w:p>
    <w:p>
      <w:pPr>
        <w:pStyle w:val="Normal"/>
        <w:jc w:val="both"/>
        <w:rPr>
          <w:color w:val="000000"/>
          <w:sz w:val="22"/>
          <w:lang w:val="en-AU" w:eastAsia="en-US"/>
        </w:rPr>
      </w:pPr>
      <w:r>
        <w:rPr>
          <w:b/>
          <w:i/>
          <w:color w:val="000000"/>
          <w:sz w:val="22"/>
          <w:lang w:val="en-AU" w:eastAsia="en-US"/>
        </w:rPr>
        <w:t>People</w:t>
      </w:r>
    </w:p>
    <w:p>
      <w:pPr>
        <w:pStyle w:val="Normal"/>
        <w:numPr>
          <w:ilvl w:val="0"/>
          <w:numId w:val="4"/>
        </w:numPr>
        <w:jc w:val="both"/>
        <w:rPr>
          <w:color w:val="000000"/>
          <w:sz w:val="22"/>
          <w:lang w:val="en-AU" w:eastAsia="en-US"/>
        </w:rPr>
      </w:pPr>
      <w:r>
        <w:rPr>
          <w:color w:val="000000"/>
          <w:sz w:val="22"/>
          <w:lang w:val="en-AU" w:eastAsia="en-US"/>
        </w:rPr>
        <w:t>Preparing a programme to co-locate MG's London staff (145) at Enron House over the weekend of 16/17 September.</w:t>
      </w:r>
    </w:p>
    <w:p>
      <w:pPr>
        <w:pStyle w:val="Normal"/>
        <w:numPr>
          <w:ilvl w:val="0"/>
          <w:numId w:val="9"/>
        </w:numPr>
        <w:jc w:val="both"/>
        <w:rPr>
          <w:color w:val="000000"/>
          <w:sz w:val="22"/>
          <w:lang w:val="en-AU" w:eastAsia="en-US"/>
        </w:rPr>
      </w:pPr>
      <w:r>
        <w:rPr>
          <w:color w:val="000000"/>
          <w:sz w:val="22"/>
          <w:lang w:val="en-AU" w:eastAsia="en-US"/>
        </w:rPr>
        <w:t>Developing plans to harmonize compensation, benefits, and employment policies and practices; developing plans for staff reporting relationships.</w:t>
      </w:r>
    </w:p>
    <w:p>
      <w:pPr>
        <w:pStyle w:val="Normal"/>
        <w:numPr>
          <w:ilvl w:val="0"/>
          <w:numId w:val="9"/>
        </w:numPr>
        <w:jc w:val="both"/>
        <w:rPr>
          <w:color w:val="000000"/>
          <w:sz w:val="22"/>
          <w:lang w:val="en-AU" w:eastAsia="en-US"/>
        </w:rPr>
      </w:pPr>
      <w:r>
        <w:rPr>
          <w:color w:val="000000"/>
          <w:sz w:val="22"/>
          <w:lang w:val="en-AU" w:eastAsia="en-US"/>
        </w:rPr>
        <w:t>Communicating plans and status of activities at all levels of Enron's and MG's organizations.</w:t>
      </w:r>
    </w:p>
    <w:p>
      <w:pPr>
        <w:pStyle w:val="Normal"/>
        <w:numPr>
          <w:ilvl w:val="0"/>
          <w:numId w:val="9"/>
        </w:numPr>
        <w:jc w:val="both"/>
        <w:rPr>
          <w:color w:val="000000"/>
          <w:sz w:val="22"/>
          <w:lang w:val="en-AU" w:eastAsia="en-US"/>
        </w:rPr>
      </w:pPr>
      <w:r>
        <w:rPr>
          <w:color w:val="000000"/>
          <w:sz w:val="22"/>
          <w:lang w:val="en-AU" w:eastAsia="en-US"/>
        </w:rPr>
        <w:t>Arranging introductions between Enron and MG staff and providing opportunities for information exchanges.</w:t>
      </w:r>
    </w:p>
    <w:p>
      <w:pPr>
        <w:pStyle w:val="Normal"/>
        <w:jc w:val="both"/>
        <w:rPr>
          <w:color w:val="000000"/>
          <w:sz w:val="22"/>
          <w:lang w:val="en-AU" w:eastAsia="en-US"/>
        </w:rPr>
      </w:pPr>
      <w:r>
        <w:rPr>
          <w:color w:val="000000"/>
          <w:sz w:val="22"/>
          <w:lang w:val="en-AU" w:eastAsia="en-US"/>
        </w:rPr>
      </w:r>
    </w:p>
    <w:p>
      <w:pPr>
        <w:pStyle w:val="Normal"/>
        <w:jc w:val="both"/>
        <w:rPr>
          <w:sz w:val="22"/>
        </w:rPr>
      </w:pPr>
      <w:r>
        <w:rPr>
          <w:b/>
          <w:i/>
          <w:sz w:val="22"/>
        </w:rPr>
        <w:t>Where do we go from here?</w:t>
      </w:r>
    </w:p>
    <w:p>
      <w:pPr>
        <w:pStyle w:val="Normal"/>
        <w:jc w:val="both"/>
        <w:rPr/>
      </w:pPr>
      <w:r>
        <w:rPr>
          <w:sz w:val="22"/>
        </w:rPr>
        <w:t>I believe that Enron’s acquisition of MG is an exciting opportunity for us all.  While a number of steps remain to be taken, we have already successfully begun the integration of Enron and MG.  By remaining enthusiastic and committed to this process, I expect that this transition will proceed smoothly and with a minimum of difficulty.</w:t>
      </w:r>
      <w:r>
        <w:br w:type="page"/>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i/>
          <w:i/>
          <w:sz w:val="22"/>
        </w:rPr>
      </w:pPr>
      <w:r>
        <w:rPr>
          <w:b/>
          <w:i/>
          <w:sz w:val="22"/>
        </w:rPr>
        <w:t>Summary of MG Offices/Staff Worldwide</w:t>
      </w:r>
    </w:p>
    <w:p>
      <w:pPr>
        <w:pStyle w:val="Normal"/>
        <w:jc w:val="both"/>
        <w:rPr>
          <w:b/>
          <w:i/>
          <w:i/>
          <w:sz w:val="22"/>
        </w:rPr>
      </w:pPr>
      <w:r>
        <w:rPr>
          <w:b/>
          <w:i/>
          <w:sz w:val="22"/>
        </w:rPr>
      </w:r>
    </w:p>
    <w:p>
      <w:pPr>
        <w:pStyle w:val="Normal"/>
        <w:jc w:val="both"/>
        <w:rPr>
          <w:b/>
          <w:i/>
          <w:i/>
          <w:sz w:val="22"/>
        </w:rPr>
      </w:pPr>
      <w:r>
        <w:rPr>
          <w:b/>
          <w:i/>
          <w:sz w:val="22"/>
        </w:rPr>
      </w:r>
    </w:p>
    <w:tbl>
      <w:tblPr>
        <w:tblW w:w="9180" w:type="dxa"/>
        <w:jc w:val="start"/>
        <w:tblInd w:w="0" w:type="dxa"/>
        <w:tblLayout w:type="fixed"/>
        <w:tblCellMar>
          <w:top w:w="0" w:type="dxa"/>
          <w:start w:w="108" w:type="dxa"/>
          <w:bottom w:w="0" w:type="dxa"/>
          <w:end w:w="108" w:type="dxa"/>
        </w:tblCellMar>
      </w:tblPr>
      <w:tblGrid>
        <w:gridCol w:w="2802"/>
        <w:gridCol w:w="1559"/>
        <w:gridCol w:w="3260"/>
        <w:gridCol w:w="1559"/>
      </w:tblGrid>
      <w:tr>
        <w:trPr/>
        <w:tc>
          <w:tcPr>
            <w:tcW w:w="2802"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pPr>
            <w:r>
              <w:rPr/>
              <w:t>Location</w:t>
            </w:r>
          </w:p>
        </w:tc>
        <w:tc>
          <w:tcPr>
            <w:tcW w:w="1559"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pPr>
            <w:r>
              <w:rPr/>
              <w:t>Employee</w:t>
            </w:r>
          </w:p>
          <w:p>
            <w:pPr>
              <w:pStyle w:val="Heading1"/>
              <w:ind w:hanging="0" w:start="0"/>
              <w:jc w:val="center"/>
              <w:rPr/>
            </w:pPr>
            <w:r>
              <w:rPr/>
              <w:t>Headcount</w:t>
            </w:r>
          </w:p>
        </w:tc>
        <w:tc>
          <w:tcPr>
            <w:tcW w:w="326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pPr>
            <w:r>
              <w:rPr/>
              <w:t>Location</w:t>
            </w:r>
          </w:p>
        </w:tc>
        <w:tc>
          <w:tcPr>
            <w:tcW w:w="1559"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pPr>
            <w:r>
              <w:rPr/>
              <w:t>Employee</w:t>
            </w:r>
          </w:p>
          <w:p>
            <w:pPr>
              <w:pStyle w:val="Heading1"/>
              <w:ind w:hanging="0" w:start="0"/>
              <w:jc w:val="center"/>
              <w:rPr/>
            </w:pPr>
            <w:r>
              <w:rPr/>
              <w:t>Headcount</w:t>
            </w:r>
          </w:p>
        </w:tc>
      </w:tr>
      <w:tr>
        <w:trPr/>
        <w:tc>
          <w:tcPr>
            <w:tcW w:w="2802"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Brazil</w:t>
            </w:r>
          </w:p>
          <w:p>
            <w:pPr>
              <w:pStyle w:val="Normal"/>
              <w:jc w:val="both"/>
              <w:rPr>
                <w:sz w:val="22"/>
              </w:rPr>
            </w:pPr>
            <w:r>
              <w:rPr>
                <w:sz w:val="22"/>
              </w:rPr>
              <w:t>Canada</w:t>
            </w:r>
          </w:p>
          <w:p>
            <w:pPr>
              <w:pStyle w:val="Normal"/>
              <w:jc w:val="both"/>
              <w:rPr>
                <w:sz w:val="22"/>
              </w:rPr>
            </w:pPr>
            <w:r>
              <w:rPr>
                <w:sz w:val="22"/>
              </w:rPr>
              <w:t>Chicago</w:t>
            </w:r>
          </w:p>
          <w:p>
            <w:pPr>
              <w:pStyle w:val="Normal"/>
              <w:jc w:val="both"/>
              <w:rPr>
                <w:sz w:val="22"/>
              </w:rPr>
            </w:pPr>
            <w:r>
              <w:rPr>
                <w:sz w:val="22"/>
              </w:rPr>
              <w:t>Chile</w:t>
            </w:r>
          </w:p>
          <w:p>
            <w:pPr>
              <w:pStyle w:val="Normal"/>
              <w:jc w:val="both"/>
              <w:rPr>
                <w:sz w:val="22"/>
              </w:rPr>
            </w:pPr>
            <w:r>
              <w:rPr>
                <w:sz w:val="22"/>
              </w:rPr>
              <w:t>Edinburgh</w:t>
            </w:r>
          </w:p>
          <w:p>
            <w:pPr>
              <w:pStyle w:val="Normal"/>
              <w:jc w:val="both"/>
              <w:rPr>
                <w:sz w:val="22"/>
              </w:rPr>
            </w:pPr>
            <w:r>
              <w:rPr>
                <w:sz w:val="22"/>
              </w:rPr>
              <w:t>Frankfurt</w:t>
            </w:r>
          </w:p>
          <w:p>
            <w:pPr>
              <w:pStyle w:val="Normal"/>
              <w:jc w:val="both"/>
              <w:rPr>
                <w:sz w:val="22"/>
              </w:rPr>
            </w:pPr>
            <w:r>
              <w:rPr>
                <w:sz w:val="22"/>
              </w:rPr>
              <w:t>Germany</w:t>
            </w:r>
          </w:p>
          <w:p>
            <w:pPr>
              <w:pStyle w:val="Normal"/>
              <w:jc w:val="both"/>
              <w:rPr>
                <w:sz w:val="22"/>
              </w:rPr>
            </w:pPr>
            <w:r>
              <w:rPr>
                <w:sz w:val="22"/>
              </w:rPr>
              <w:t>Hamburg</w:t>
            </w:r>
          </w:p>
          <w:p>
            <w:pPr>
              <w:pStyle w:val="Normal"/>
              <w:jc w:val="both"/>
              <w:rPr>
                <w:sz w:val="22"/>
              </w:rPr>
            </w:pPr>
            <w:r>
              <w:rPr>
                <w:sz w:val="22"/>
              </w:rPr>
              <w:t>Hong Kong</w:t>
            </w:r>
          </w:p>
          <w:p>
            <w:pPr>
              <w:pStyle w:val="Normal"/>
              <w:jc w:val="both"/>
              <w:rPr>
                <w:sz w:val="22"/>
              </w:rPr>
            </w:pPr>
            <w:r>
              <w:rPr>
                <w:sz w:val="22"/>
              </w:rPr>
              <w:t>Houston</w:t>
            </w:r>
          </w:p>
          <w:p>
            <w:pPr>
              <w:pStyle w:val="Normal"/>
              <w:jc w:val="both"/>
              <w:rPr>
                <w:sz w:val="22"/>
              </w:rPr>
            </w:pPr>
            <w:r>
              <w:rPr>
                <w:sz w:val="22"/>
              </w:rPr>
              <w:t>Kőln</w:t>
            </w:r>
          </w:p>
          <w:p>
            <w:pPr>
              <w:pStyle w:val="Normal"/>
              <w:jc w:val="both"/>
              <w:rPr>
                <w:sz w:val="22"/>
              </w:rPr>
            </w:pPr>
            <w:r>
              <w:rPr>
                <w:sz w:val="22"/>
              </w:rPr>
              <w:t>Lima</w:t>
            </w:r>
          </w:p>
          <w:p>
            <w:pPr>
              <w:pStyle w:val="Normal"/>
              <w:jc w:val="both"/>
              <w:rPr>
                <w:sz w:val="22"/>
              </w:rPr>
            </w:pPr>
            <w:r>
              <w:rPr>
                <w:sz w:val="22"/>
              </w:rPr>
              <w:t>Liverpool</w:t>
            </w:r>
          </w:p>
          <w:p>
            <w:pPr>
              <w:pStyle w:val="Normal"/>
              <w:jc w:val="both"/>
              <w:rPr>
                <w:sz w:val="22"/>
              </w:rPr>
            </w:pPr>
            <w:r>
              <w:rPr>
                <w:sz w:val="22"/>
              </w:rPr>
              <w:t>London</w:t>
            </w:r>
          </w:p>
          <w:p>
            <w:pPr>
              <w:pStyle w:val="Normal"/>
              <w:jc w:val="both"/>
              <w:rPr>
                <w:sz w:val="22"/>
              </w:rPr>
            </w:pPr>
            <w:r>
              <w:rPr>
                <w:sz w:val="22"/>
              </w:rPr>
              <w:t>Los Angeles, CA</w:t>
            </w:r>
          </w:p>
          <w:p>
            <w:pPr>
              <w:pStyle w:val="Normal"/>
              <w:jc w:val="both"/>
              <w:rPr>
                <w:sz w:val="22"/>
              </w:rPr>
            </w:pPr>
            <w:r>
              <w:rPr>
                <w:sz w:val="22"/>
              </w:rPr>
              <w:t>Missouri</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p>
            <w:pPr>
              <w:pStyle w:val="Normal"/>
              <w:jc w:val="center"/>
              <w:rPr>
                <w:sz w:val="22"/>
              </w:rPr>
            </w:pPr>
            <w:r>
              <w:rPr>
                <w:sz w:val="22"/>
              </w:rPr>
              <w:t>4</w:t>
            </w:r>
          </w:p>
          <w:p>
            <w:pPr>
              <w:pStyle w:val="Normal"/>
              <w:jc w:val="center"/>
              <w:rPr>
                <w:sz w:val="22"/>
              </w:rPr>
            </w:pPr>
            <w:r>
              <w:rPr>
                <w:sz w:val="22"/>
              </w:rPr>
              <w:t>6</w:t>
            </w:r>
          </w:p>
          <w:p>
            <w:pPr>
              <w:pStyle w:val="Normal"/>
              <w:jc w:val="center"/>
              <w:rPr>
                <w:sz w:val="22"/>
              </w:rPr>
            </w:pPr>
            <w:r>
              <w:rPr>
                <w:sz w:val="22"/>
              </w:rPr>
              <w:t>1</w:t>
            </w:r>
          </w:p>
          <w:p>
            <w:pPr>
              <w:pStyle w:val="Normal"/>
              <w:jc w:val="center"/>
              <w:rPr>
                <w:sz w:val="22"/>
              </w:rPr>
            </w:pPr>
            <w:r>
              <w:rPr>
                <w:sz w:val="22"/>
              </w:rPr>
              <w:t>1</w:t>
            </w:r>
          </w:p>
          <w:p>
            <w:pPr>
              <w:pStyle w:val="Normal"/>
              <w:jc w:val="center"/>
              <w:rPr>
                <w:sz w:val="22"/>
              </w:rPr>
            </w:pPr>
            <w:r>
              <w:rPr>
                <w:sz w:val="22"/>
              </w:rPr>
              <w:t>28</w:t>
            </w:r>
          </w:p>
          <w:p>
            <w:pPr>
              <w:pStyle w:val="Normal"/>
              <w:jc w:val="center"/>
              <w:rPr>
                <w:sz w:val="22"/>
              </w:rPr>
            </w:pPr>
            <w:r>
              <w:rPr>
                <w:sz w:val="22"/>
              </w:rPr>
              <w:t>1</w:t>
            </w:r>
          </w:p>
          <w:p>
            <w:pPr>
              <w:pStyle w:val="Normal"/>
              <w:jc w:val="center"/>
              <w:rPr>
                <w:sz w:val="22"/>
              </w:rPr>
            </w:pPr>
            <w:r>
              <w:rPr>
                <w:sz w:val="22"/>
              </w:rPr>
              <w:t>39</w:t>
            </w:r>
          </w:p>
          <w:p>
            <w:pPr>
              <w:pStyle w:val="Normal"/>
              <w:jc w:val="center"/>
              <w:rPr>
                <w:sz w:val="22"/>
              </w:rPr>
            </w:pPr>
            <w:r>
              <w:rPr>
                <w:sz w:val="22"/>
              </w:rPr>
              <w:t>1</w:t>
            </w:r>
          </w:p>
          <w:p>
            <w:pPr>
              <w:pStyle w:val="Normal"/>
              <w:jc w:val="center"/>
              <w:rPr>
                <w:sz w:val="22"/>
              </w:rPr>
            </w:pPr>
            <w:r>
              <w:rPr>
                <w:sz w:val="22"/>
              </w:rPr>
              <w:t>2</w:t>
            </w:r>
          </w:p>
          <w:p>
            <w:pPr>
              <w:pStyle w:val="Normal"/>
              <w:jc w:val="center"/>
              <w:rPr>
                <w:sz w:val="22"/>
              </w:rPr>
            </w:pPr>
            <w:r>
              <w:rPr>
                <w:sz w:val="22"/>
              </w:rPr>
              <w:t>1</w:t>
            </w:r>
          </w:p>
          <w:p>
            <w:pPr>
              <w:pStyle w:val="Normal"/>
              <w:jc w:val="center"/>
              <w:rPr>
                <w:sz w:val="22"/>
              </w:rPr>
            </w:pPr>
            <w:r>
              <w:rPr>
                <w:sz w:val="22"/>
              </w:rPr>
              <w:t>1</w:t>
            </w:r>
          </w:p>
          <w:p>
            <w:pPr>
              <w:pStyle w:val="Normal"/>
              <w:jc w:val="center"/>
              <w:rPr>
                <w:sz w:val="22"/>
              </w:rPr>
            </w:pPr>
            <w:r>
              <w:rPr>
                <w:sz w:val="22"/>
              </w:rPr>
              <w:t>38</w:t>
            </w:r>
          </w:p>
          <w:p>
            <w:pPr>
              <w:pStyle w:val="Normal"/>
              <w:jc w:val="center"/>
              <w:rPr>
                <w:sz w:val="22"/>
              </w:rPr>
            </w:pPr>
            <w:r>
              <w:rPr>
                <w:sz w:val="22"/>
              </w:rPr>
              <w:t>152</w:t>
            </w:r>
          </w:p>
          <w:p>
            <w:pPr>
              <w:pStyle w:val="Normal"/>
              <w:jc w:val="center"/>
              <w:rPr>
                <w:sz w:val="22"/>
              </w:rPr>
            </w:pPr>
            <w:r>
              <w:rPr>
                <w:sz w:val="22"/>
              </w:rPr>
              <w:t>18</w:t>
            </w:r>
          </w:p>
          <w:p>
            <w:pPr>
              <w:pStyle w:val="Normal"/>
              <w:jc w:val="center"/>
              <w:rPr>
                <w:sz w:val="22"/>
              </w:rPr>
            </w:pPr>
            <w:r>
              <w:rPr>
                <w:sz w:val="22"/>
              </w:rPr>
              <w:t>3</w:t>
            </w:r>
          </w:p>
        </w:tc>
        <w:tc>
          <w:tcPr>
            <w:tcW w:w="326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Moscow</w:t>
            </w:r>
          </w:p>
          <w:p>
            <w:pPr>
              <w:pStyle w:val="Normal"/>
              <w:jc w:val="both"/>
              <w:rPr>
                <w:sz w:val="22"/>
              </w:rPr>
            </w:pPr>
            <w:r>
              <w:rPr>
                <w:sz w:val="22"/>
              </w:rPr>
              <w:t>NY</w:t>
            </w:r>
          </w:p>
          <w:p>
            <w:pPr>
              <w:pStyle w:val="Normal"/>
              <w:jc w:val="both"/>
              <w:rPr>
                <w:sz w:val="22"/>
              </w:rPr>
            </w:pPr>
            <w:r>
              <w:rPr>
                <w:sz w:val="22"/>
              </w:rPr>
              <w:t>Peru</w:t>
            </w:r>
          </w:p>
          <w:p>
            <w:pPr>
              <w:pStyle w:val="Normal"/>
              <w:jc w:val="both"/>
              <w:rPr>
                <w:sz w:val="22"/>
              </w:rPr>
            </w:pPr>
            <w:r>
              <w:rPr>
                <w:sz w:val="22"/>
              </w:rPr>
              <w:t>Rotterdam</w:t>
            </w:r>
          </w:p>
          <w:p>
            <w:pPr>
              <w:pStyle w:val="Normal"/>
              <w:jc w:val="both"/>
              <w:rPr>
                <w:sz w:val="22"/>
              </w:rPr>
            </w:pPr>
            <w:r>
              <w:rPr>
                <w:sz w:val="22"/>
              </w:rPr>
              <w:t>Shanghai</w:t>
            </w:r>
          </w:p>
          <w:p>
            <w:pPr>
              <w:pStyle w:val="Normal"/>
              <w:jc w:val="both"/>
              <w:rPr>
                <w:sz w:val="22"/>
              </w:rPr>
            </w:pPr>
            <w:r>
              <w:rPr>
                <w:sz w:val="22"/>
              </w:rPr>
              <w:t>Singapore</w:t>
            </w:r>
          </w:p>
          <w:p>
            <w:pPr>
              <w:pStyle w:val="Normal"/>
              <w:jc w:val="both"/>
              <w:rPr>
                <w:sz w:val="22"/>
              </w:rPr>
            </w:pPr>
            <w:r>
              <w:rPr>
                <w:sz w:val="22"/>
              </w:rPr>
              <w:t>South Africa</w:t>
            </w:r>
          </w:p>
          <w:p>
            <w:pPr>
              <w:pStyle w:val="Normal"/>
              <w:jc w:val="both"/>
              <w:rPr>
                <w:sz w:val="22"/>
              </w:rPr>
            </w:pPr>
            <w:r>
              <w:rPr>
                <w:sz w:val="22"/>
              </w:rPr>
              <w:t>Spain</w:t>
            </w:r>
          </w:p>
          <w:p>
            <w:pPr>
              <w:pStyle w:val="Normal"/>
              <w:jc w:val="both"/>
              <w:rPr>
                <w:sz w:val="22"/>
              </w:rPr>
            </w:pPr>
            <w:r>
              <w:rPr>
                <w:sz w:val="22"/>
              </w:rPr>
              <w:t>Stockholm</w:t>
            </w:r>
          </w:p>
          <w:p>
            <w:pPr>
              <w:pStyle w:val="Normal"/>
              <w:jc w:val="both"/>
              <w:rPr>
                <w:sz w:val="22"/>
              </w:rPr>
            </w:pPr>
            <w:r>
              <w:rPr>
                <w:sz w:val="22"/>
              </w:rPr>
              <w:t>Tokyo</w:t>
            </w:r>
          </w:p>
          <w:p>
            <w:pPr>
              <w:pStyle w:val="Normal"/>
              <w:jc w:val="both"/>
              <w:rPr>
                <w:sz w:val="22"/>
              </w:rPr>
            </w:pPr>
            <w:r>
              <w:rPr>
                <w:sz w:val="22"/>
              </w:rPr>
              <w:t>HENRY BATH CAMBERLEY</w:t>
            </w:r>
          </w:p>
          <w:p>
            <w:pPr>
              <w:pStyle w:val="Normal"/>
              <w:jc w:val="both"/>
              <w:rPr>
                <w:sz w:val="22"/>
              </w:rPr>
            </w:pPr>
            <w:r>
              <w:rPr>
                <w:sz w:val="22"/>
              </w:rPr>
              <w:t>HENRY BATH EDINBURGH</w:t>
            </w:r>
          </w:p>
          <w:p>
            <w:pPr>
              <w:pStyle w:val="Normal"/>
              <w:jc w:val="both"/>
              <w:rPr>
                <w:sz w:val="22"/>
              </w:rPr>
            </w:pPr>
            <w:r>
              <w:rPr>
                <w:sz w:val="22"/>
              </w:rPr>
              <w:t>HENRY BATH LONDON</w:t>
            </w:r>
          </w:p>
          <w:p>
            <w:pPr>
              <w:pStyle w:val="Normal"/>
              <w:jc w:val="both"/>
              <w:rPr>
                <w:sz w:val="22"/>
              </w:rPr>
            </w:pPr>
            <w:r>
              <w:rPr>
                <w:sz w:val="22"/>
              </w:rPr>
              <w:t>HENRY BATH MANCHESTER</w:t>
            </w:r>
          </w:p>
          <w:p>
            <w:pPr>
              <w:pStyle w:val="Normal"/>
              <w:jc w:val="both"/>
              <w:rPr>
                <w:sz w:val="22"/>
              </w:rPr>
            </w:pPr>
            <w:r>
              <w:rPr>
                <w:sz w:val="22"/>
              </w:rPr>
              <w:t>HENRY BATH AVONMOUTH</w:t>
            </w:r>
          </w:p>
          <w:p>
            <w:pPr>
              <w:pStyle w:val="Normal"/>
              <w:jc w:val="both"/>
              <w:rPr>
                <w:sz w:val="22"/>
              </w:rPr>
            </w:pPr>
            <w:r>
              <w:rPr>
                <w:sz w:val="22"/>
              </w:rPr>
              <w:t>LIVERPOOL – HB &amp; SON</w:t>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p>
            <w:pPr>
              <w:pStyle w:val="Normal"/>
              <w:jc w:val="center"/>
              <w:rPr>
                <w:sz w:val="22"/>
              </w:rPr>
            </w:pPr>
            <w:r>
              <w:rPr>
                <w:sz w:val="22"/>
              </w:rPr>
              <w:t>46</w:t>
            </w:r>
          </w:p>
          <w:p>
            <w:pPr>
              <w:pStyle w:val="Normal"/>
              <w:jc w:val="center"/>
              <w:rPr>
                <w:sz w:val="22"/>
              </w:rPr>
            </w:pPr>
            <w:r>
              <w:rPr>
                <w:sz w:val="22"/>
              </w:rPr>
              <w:t>1</w:t>
            </w:r>
          </w:p>
          <w:p>
            <w:pPr>
              <w:pStyle w:val="Normal"/>
              <w:jc w:val="center"/>
              <w:rPr>
                <w:sz w:val="22"/>
              </w:rPr>
            </w:pPr>
            <w:r>
              <w:rPr>
                <w:sz w:val="22"/>
              </w:rPr>
              <w:t>29</w:t>
            </w:r>
          </w:p>
          <w:p>
            <w:pPr>
              <w:pStyle w:val="Normal"/>
              <w:jc w:val="center"/>
              <w:rPr>
                <w:sz w:val="22"/>
              </w:rPr>
            </w:pPr>
            <w:r>
              <w:rPr>
                <w:sz w:val="22"/>
              </w:rPr>
              <w:t>1</w:t>
            </w:r>
          </w:p>
          <w:p>
            <w:pPr>
              <w:pStyle w:val="Normal"/>
              <w:jc w:val="center"/>
              <w:rPr>
                <w:sz w:val="22"/>
              </w:rPr>
            </w:pPr>
            <w:r>
              <w:rPr>
                <w:sz w:val="22"/>
              </w:rPr>
              <w:t>7</w:t>
            </w:r>
          </w:p>
          <w:p>
            <w:pPr>
              <w:pStyle w:val="Normal"/>
              <w:jc w:val="center"/>
              <w:rPr>
                <w:sz w:val="22"/>
              </w:rPr>
            </w:pPr>
            <w:r>
              <w:rPr>
                <w:sz w:val="22"/>
              </w:rPr>
              <w:t>1</w:t>
            </w:r>
          </w:p>
          <w:p>
            <w:pPr>
              <w:pStyle w:val="Normal"/>
              <w:jc w:val="center"/>
              <w:rPr>
                <w:sz w:val="22"/>
              </w:rPr>
            </w:pPr>
            <w:r>
              <w:rPr>
                <w:sz w:val="22"/>
              </w:rPr>
              <w:t>1</w:t>
            </w:r>
          </w:p>
          <w:p>
            <w:pPr>
              <w:pStyle w:val="Normal"/>
              <w:jc w:val="center"/>
              <w:rPr>
                <w:sz w:val="22"/>
              </w:rPr>
            </w:pPr>
            <w:r>
              <w:rPr>
                <w:sz w:val="22"/>
              </w:rPr>
              <w:t>2</w:t>
            </w:r>
          </w:p>
          <w:p>
            <w:pPr>
              <w:pStyle w:val="Normal"/>
              <w:jc w:val="center"/>
              <w:rPr>
                <w:sz w:val="22"/>
              </w:rPr>
            </w:pPr>
            <w:r>
              <w:rPr>
                <w:sz w:val="22"/>
              </w:rPr>
              <w:t>8</w:t>
            </w:r>
          </w:p>
          <w:p>
            <w:pPr>
              <w:pStyle w:val="Normal"/>
              <w:jc w:val="center"/>
              <w:rPr>
                <w:sz w:val="22"/>
              </w:rPr>
            </w:pPr>
            <w:r>
              <w:rPr>
                <w:sz w:val="22"/>
              </w:rPr>
              <w:t>2</w:t>
            </w:r>
          </w:p>
          <w:p>
            <w:pPr>
              <w:pStyle w:val="Normal"/>
              <w:jc w:val="center"/>
              <w:rPr>
                <w:sz w:val="22"/>
              </w:rPr>
            </w:pPr>
            <w:r>
              <w:rPr>
                <w:sz w:val="22"/>
              </w:rPr>
              <w:t>1</w:t>
            </w:r>
          </w:p>
          <w:p>
            <w:pPr>
              <w:pStyle w:val="Normal"/>
              <w:jc w:val="center"/>
              <w:rPr>
                <w:sz w:val="22"/>
              </w:rPr>
            </w:pPr>
            <w:r>
              <w:rPr>
                <w:sz w:val="22"/>
              </w:rPr>
              <w:t>10</w:t>
            </w:r>
          </w:p>
          <w:p>
            <w:pPr>
              <w:pStyle w:val="Normal"/>
              <w:jc w:val="center"/>
              <w:rPr>
                <w:sz w:val="22"/>
              </w:rPr>
            </w:pPr>
            <w:r>
              <w:rPr>
                <w:sz w:val="22"/>
              </w:rPr>
              <w:t>2</w:t>
            </w:r>
          </w:p>
          <w:p>
            <w:pPr>
              <w:pStyle w:val="Normal"/>
              <w:jc w:val="center"/>
              <w:rPr>
                <w:sz w:val="22"/>
              </w:rPr>
            </w:pPr>
            <w:r>
              <w:rPr>
                <w:sz w:val="22"/>
              </w:rPr>
              <w:t>4</w:t>
            </w:r>
          </w:p>
          <w:p>
            <w:pPr>
              <w:pStyle w:val="Normal"/>
              <w:jc w:val="center"/>
              <w:rPr>
                <w:sz w:val="22"/>
              </w:rPr>
            </w:pPr>
            <w:r>
              <w:rPr>
                <w:sz w:val="22"/>
              </w:rPr>
              <w:t>18</w:t>
            </w:r>
          </w:p>
        </w:tc>
      </w:tr>
    </w:tbl>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For further information or queries regarding MG, please contact Eric Gadd.</w:t>
      </w:r>
    </w:p>
    <w:p>
      <w:pPr>
        <w:pStyle w:val="Normal"/>
        <w:jc w:val="both"/>
        <w:rPr>
          <w:b/>
          <w:sz w:val="22"/>
        </w:rPr>
      </w:pPr>
      <w:r>
        <w:rPr>
          <w:b/>
          <w:sz w:val="22"/>
        </w:rPr>
        <w:t>Direct no:  +44 20 7783 6595</w:t>
      </w:r>
    </w:p>
    <w:p>
      <w:pPr>
        <w:pStyle w:val="Normal"/>
        <w:jc w:val="both"/>
        <w:rPr>
          <w:b/>
          <w:sz w:val="22"/>
        </w:rPr>
      </w:pPr>
      <w:r>
        <w:rPr>
          <w:b/>
          <w:sz w:val="22"/>
        </w:rPr>
        <w:t>Fax no:      +44 20 7783 8314</w:t>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986"/>
      <w:numFmt w:val="bullet"/>
      <w:lvlText w:val="-"/>
      <w:lvlJc w:val="start"/>
      <w:pPr>
        <w:tabs>
          <w:tab w:val="num" w:pos="1080"/>
        </w:tabs>
        <w:ind w:start="1080" w:hanging="360"/>
      </w:pPr>
      <w:rPr>
        <w:rFonts w:ascii="Liberation Serif" w:hAnsi="Liberation Serif" w:cs="Liberation Serif"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tabs>
        <w:tab w:val="clear" w:pos="540"/>
      </w:tabs>
      <w:jc w:val="both"/>
      <w:outlineLvl w:val="1"/>
    </w:pPr>
    <w:rPr>
      <w:rFonts w:ascii="Times New Roman" w:hAnsi="Times New Roman" w:cs="Times New Roman"/>
      <w:b/>
      <w:lang w:val="en-G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jc w:val="both"/>
    </w:pPr>
    <w:rPr>
      <w:rFonts w:ascii="Times New Roman" w:hAnsi="Times New Roman" w:cs="Times New Roman"/>
      <w:color w:val="80808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s>
      <w:jc w:val="both"/>
    </w:pPr>
    <w:rPr>
      <w:rFonts w:ascii="Times New Roman" w:hAnsi="Times New Roman" w:cs="Times New Roman"/>
      <w:color w:val="000000"/>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2000-06-16T10:39:00Z</dcterms:created>
  <dc:creator>tralston</dc:creator>
  <dc:description/>
  <dc:language>en-CA</dc:language>
  <cp:lastModifiedBy>tralston</cp:lastModifiedBy>
  <cp:lastPrinted>1997-02-03T10:06:00Z</cp:lastPrinted>
  <dcterms:modified xsi:type="dcterms:W3CDTF">2000-06-16T10:39:00Z</dcterms:modified>
  <cp:revision>2</cp:revision>
  <dc:subject>Tractebel Meeting</dc:subject>
  <dc:title> </dc:title>
</cp:coreProperties>
</file>