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0" w:type="dxa"/>
        <w:tblLayout w:type="fixed"/>
        <w:tblCellMar>
          <w:top w:w="0" w:type="dxa"/>
          <w:start w:w="0" w:type="dxa"/>
          <w:bottom w:w="0" w:type="dxa"/>
          <w:end w:w="0" w:type="dxa"/>
        </w:tblCellMar>
      </w:tblPr>
      <w:tblGrid>
        <w:gridCol w:w="10710"/>
      </w:tblGrid>
      <w:tr>
        <w:trPr>
          <w:trHeight w:val="350" w:hRule="atLeast"/>
        </w:trPr>
        <w:tc>
          <w:tcPr>
            <w:tcW w:w="10710" w:type="dxa"/>
            <w:tcBorders>
              <w:top w:val="single" w:sz="4" w:space="0" w:color="000000"/>
              <w:bottom w:val="single" w:sz="4" w:space="0" w:color="000000"/>
            </w:tcBorders>
          </w:tcPr>
          <w:p>
            <w:pPr>
              <w:pStyle w:val="BoxedBodytext"/>
              <w:ind w:start="720" w:end="0"/>
              <w:rPr>
                <w:sz w:val="24"/>
              </w:rPr>
            </w:pPr>
            <w:r>
              <w:rPr>
                <w:b/>
                <w:sz w:val="24"/>
              </w:rPr>
              <w:t>Date:</w:t>
            </w:r>
            <w:r>
              <w:rPr>
                <w:sz w:val="24"/>
              </w:rPr>
              <w:t xml:space="preserve"> </w:t>
            </w:r>
            <w:r>
              <w:fldChar w:fldCharType="begin">
                <w:ffData>
                  <w:name w:val="Unnamed"/>
                  <w:enabled/>
                  <w:calcOnExit w:val="0"/>
                  <w:textInput/>
                </w:ffData>
              </w:fldChar>
            </w:r>
            <w:r>
              <w:rPr>
                <w:sz w:val="24"/>
              </w:rPr>
              <w:instrText xml:space="preserve"> FORMTEXT </w:instrText>
            </w:r>
            <w:r>
              <w:rPr>
                <w:sz w:val="24"/>
              </w:rPr>
            </w:r>
            <w:r>
              <w:rPr>
                <w:sz w:val="24"/>
              </w:rPr>
              <w:fldChar w:fldCharType="separate"/>
            </w:r>
            <w:r>
              <w:rPr>
                <w:sz w:val="24"/>
              </w:rPr>
              <w:t>23 October 2001</w:t>
            </w:r>
            <w:r/>
            <w:r>
              <w:rPr>
                <w:sz w:val="24"/>
              </w:rPr>
              <w:fldChar w:fldCharType="end"/>
            </w:r>
            <w:r>
              <w:rPr>
                <w:sz w:val="24"/>
              </w:rPr>
            </w:r>
          </w:p>
        </w:tc>
      </w:tr>
    </w:tbl>
    <w:p>
      <w:pPr>
        <w:pStyle w:val="BodyText"/>
        <w:rPr/>
      </w:pPr>
      <w:r>
        <w:rPr/>
      </w:r>
    </w:p>
    <w:p>
      <w:pPr>
        <w:pStyle w:val="BodyText"/>
        <w:rPr/>
      </w:pPr>
      <w:r>
        <w:rPr/>
      </w:r>
    </w:p>
    <w:p>
      <w:pPr>
        <w:pStyle w:val="BodyText"/>
        <w:rPr/>
      </w:pPr>
      <w:r>
        <w:rPr>
          <w:b/>
        </w:rPr>
        <w:t>For Release:</w:t>
      </w:r>
      <w:r>
        <w:rPr/>
        <w:t xml:space="preserve"> </w:t>
      </w:r>
      <w:r>
        <w:fldChar w:fldCharType="begin">
          <w:ffData>
            <w:name w:val="Text11"/>
            <w:enabled/>
            <w:calcOnExit w:val="0"/>
            <w:textInput/>
          </w:ffData>
        </w:fldChar>
      </w:r>
      <w:r>
        <w:rPr/>
        <w:instrText xml:space="preserve"> FORMTEXT </w:instrText>
      </w:r>
      <w:r>
        <w:rPr/>
      </w:r>
      <w:r>
        <w:rPr/>
        <w:fldChar w:fldCharType="separate"/>
      </w:r>
      <w:r>
        <w:rPr/>
        <w:t>Immediately</w:t>
      </w:r>
      <w:r/>
      <w:r>
        <w:rPr/>
        <w:fldChar w:fldCharType="end"/>
      </w:r>
      <w:r>
        <w:rPr/>
      </w:r>
    </w:p>
    <w:p>
      <w:pPr>
        <w:pStyle w:val="BodyText"/>
        <w:rPr/>
      </w:pPr>
      <w:r>
        <w:rPr>
          <w:b/>
        </w:rPr>
        <w:t>Refer to:</w:t>
      </w:r>
      <w:r>
        <w:rPr/>
        <w:t xml:space="preserve"> </w:t>
      </w:r>
      <w:r>
        <w:fldChar w:fldCharType="begin">
          <w:ffData>
            <w:name w:val="Text1"/>
            <w:enabled/>
            <w:calcOnExit w:val="0"/>
            <w:textInput/>
          </w:ffData>
        </w:fldChar>
      </w:r>
      <w:r>
        <w:rPr/>
        <w:instrText xml:space="preserve"> FORMTEXT </w:instrText>
      </w:r>
      <w:r>
        <w:rPr/>
      </w:r>
      <w:r>
        <w:rPr/>
        <w:fldChar w:fldCharType="separate"/>
      </w:r>
      <w:r>
        <w:t>(317) 433-9271 Doyia Chadwick, Lilly Global</w:t>
      </w:r>
      <w:r>
        <w:rPr/>
      </w:r>
    </w:p>
    <w:p>
      <w:pPr>
        <w:pStyle w:val="BodyText"/>
        <w:rPr/>
      </w:pPr>
      <w:r>
        <w:rPr/>
        <w:t xml:space="preserve">                </w:t>
      </w:r>
      <w:r>
        <w:rPr/>
        <w:t>+44 7930 336720 Shairose Ebrahim, Cohn &amp; Wolfe London</w:t>
      </w:r>
    </w:p>
    <w:p>
      <w:pPr>
        <w:pStyle w:val="BodyText"/>
        <w:rPr/>
      </w:pPr>
      <w:r>
        <w:rPr/>
        <w:t xml:space="preserve">                </w:t>
      </w:r>
      <w:r>
        <w:rPr/>
        <w:t>+44 7867 785094 Sarah Wolf, Cohn &amp; Wolfe London</w:t>
      </w:r>
    </w:p>
    <w:p>
      <w:pPr>
        <w:pStyle w:val="BodyText"/>
        <w:rPr/>
      </w:pPr>
      <w:r>
        <w:rPr/>
      </w:r>
      <w:r>
        <w:rPr/>
        <w:fldChar w:fldCharType="end"/>
      </w:r>
      <w:r>
        <w:rPr/>
        <w:t xml:space="preserve"> </w:t>
      </w:r>
    </w:p>
    <w:p>
      <w:pPr>
        <w:pStyle w:val="BodyText"/>
        <w:ind w:start="945" w:end="0"/>
        <w:rPr/>
      </w:pPr>
      <w:r>
        <w:fldChar w:fldCharType="begin">
          <w:ffData>
            <w:name w:val="Text2"/>
            <w:enabled/>
            <w:calcOnExit w:val="0"/>
            <w:textInput/>
          </w:ffData>
        </w:fldChar>
      </w:r>
      <w:r>
        <w:rPr/>
        <w:instrText xml:space="preserve"> FORMTEXT </w:instrText>
      </w:r>
      <w:r>
        <w:rPr/>
      </w:r>
      <w:r>
        <w:rPr/>
        <w:fldChar w:fldCharType="separate"/>
      </w:r>
      <w:r>
        <w:rPr/>
        <w:t>     </w:t>
      </w:r>
      <w:r/>
      <w:r>
        <w:rPr/>
        <w:fldChar w:fldCharType="end"/>
      </w:r>
      <w:r>
        <w:rPr/>
      </w:r>
    </w:p>
    <w:p>
      <w:pPr>
        <w:pStyle w:val="BodyText"/>
        <w:rPr/>
      </w:pPr>
      <w:r>
        <w:rPr/>
      </w:r>
    </w:p>
    <w:p>
      <w:pPr>
        <w:pStyle w:val="BodyText"/>
        <w:rPr/>
      </w:pPr>
      <w:r>
        <w:rPr/>
      </w:r>
    </w:p>
    <w:p>
      <w:pPr>
        <w:sectPr>
          <w:headerReference w:type="default" r:id="rId2"/>
          <w:footerReference w:type="default" r:id="rId3"/>
          <w:type w:val="continuous"/>
          <w:pgSz w:w="12240" w:h="15840"/>
          <w:pgMar w:left="1440" w:right="1440" w:gutter="0" w:header="936" w:top="1440" w:footer="562" w:bottom="1440"/>
          <w:formProt w:val="true"/>
          <w:textDirection w:val="lrTb"/>
          <w:docGrid w:type="default" w:linePitch="360" w:charSpace="0"/>
        </w:sectPr>
      </w:pPr>
    </w:p>
    <w:p>
      <w:pPr>
        <w:pStyle w:val="BodyText"/>
        <w:jc w:val="center"/>
        <w:rPr>
          <w:i/>
          <w:i/>
        </w:rPr>
      </w:pPr>
      <w:r>
        <w:rPr>
          <w:i/>
        </w:rPr>
      </w:r>
    </w:p>
    <w:p>
      <w:pPr>
        <w:pStyle w:val="BodyText"/>
        <w:tabs>
          <w:tab w:val="clear" w:pos="720"/>
          <w:tab w:val="left" w:pos="0" w:leader="none"/>
        </w:tabs>
        <w:spacing w:lineRule="auto" w:line="240"/>
        <w:jc w:val="center"/>
        <w:rPr>
          <w:b/>
        </w:rPr>
      </w:pPr>
      <w:r>
        <w:rPr>
          <w:b/>
        </w:rPr>
        <w:t xml:space="preserve">New Data Shows That Lilly Oncology's Anti-Cancer Agent </w:t>
      </w:r>
    </w:p>
    <w:p>
      <w:pPr>
        <w:pStyle w:val="BodyText"/>
        <w:tabs>
          <w:tab w:val="clear" w:pos="720"/>
          <w:tab w:val="left" w:pos="0" w:leader="none"/>
        </w:tabs>
        <w:spacing w:lineRule="auto" w:line="240"/>
        <w:jc w:val="center"/>
        <w:rPr>
          <w:b/>
        </w:rPr>
      </w:pPr>
      <w:r>
        <w:rPr>
          <w:b/>
        </w:rPr>
        <w:t>Shows Activity in Treating Pleural Mesothelioma</w:t>
      </w:r>
    </w:p>
    <w:p>
      <w:pPr>
        <w:pStyle w:val="BodyText"/>
        <w:tabs>
          <w:tab w:val="clear" w:pos="720"/>
          <w:tab w:val="left" w:pos="0" w:leader="none"/>
        </w:tabs>
        <w:spacing w:lineRule="auto" w:line="240"/>
        <w:jc w:val="center"/>
        <w:rPr>
          <w:i/>
          <w:i/>
        </w:rPr>
      </w:pPr>
      <w:r>
        <w:rPr>
          <w:i/>
        </w:rPr>
        <w:t xml:space="preserve">A malignant tumour of the lining of the lung, often caused by asbestos inhalation </w:t>
      </w:r>
    </w:p>
    <w:p>
      <w:pPr>
        <w:pStyle w:val="BodyText"/>
        <w:spacing w:lineRule="auto" w:line="360"/>
        <w:ind w:start="1440" w:end="0"/>
        <w:jc w:val="center"/>
        <w:rPr>
          <w:b/>
          <w:i/>
          <w:i/>
        </w:rPr>
      </w:pPr>
      <w:r>
        <w:rPr>
          <w:b/>
          <w:i/>
        </w:rPr>
      </w:r>
    </w:p>
    <w:p>
      <w:pPr>
        <w:pStyle w:val="BodyText"/>
        <w:spacing w:lineRule="atLeast" w:line="360"/>
        <w:rPr/>
      </w:pPr>
      <w:r>
        <w:rPr>
          <w:i/>
        </w:rPr>
        <w:t>European Cancer Congress (ECCO), Lisbon, Portugal, Tuesday 23 October  2001</w:t>
      </w:r>
      <w:r>
        <w:rPr/>
        <w:t xml:space="preserve"> -- New Phase II data presented on pemetrexed (registered trade name Alimta</w:t>
      </w:r>
      <w:r>
        <w:rPr>
          <w:rFonts w:eastAsia="Symbol" w:cs="Symbol" w:ascii="Symbol" w:hAnsi="Symbol"/>
          <w:vertAlign w:val="superscript"/>
        </w:rPr>
        <w:sym w:font="Symbol" w:char="f0d2"/>
      </w:r>
      <w:r>
        <w:rPr/>
        <w:t>), an anti-cancer agent being developed by Lilly Oncology, have shown that the drug could be beneficial for the treatment of pleural mesothelioma</w:t>
      </w:r>
      <w:r>
        <w:rPr>
          <w:vertAlign w:val="superscript"/>
        </w:rPr>
        <w:t>1</w:t>
      </w:r>
      <w:r>
        <w:rPr/>
        <w:t xml:space="preserve">, a malignant tumour of the lining of the lung. This is good news for the increasing numbers of patients who suffer from malignant pleural mesothelioma because there is no therapy currently indicated for this disease. </w:t>
      </w:r>
    </w:p>
    <w:p>
      <w:pPr>
        <w:pStyle w:val="Normal"/>
        <w:suppressAutoHyphens w:val="true"/>
        <w:spacing w:lineRule="atLeast" w:line="360"/>
        <w:rPr>
          <w:sz w:val="24"/>
        </w:rPr>
      </w:pPr>
      <w:r>
        <w:rPr>
          <w:sz w:val="24"/>
        </w:rPr>
      </w:r>
    </w:p>
    <w:p>
      <w:pPr>
        <w:pStyle w:val="Normal"/>
        <w:suppressAutoHyphens w:val="true"/>
        <w:spacing w:lineRule="atLeast" w:line="360"/>
        <w:rPr/>
      </w:pPr>
      <w:r>
        <w:rPr>
          <w:sz w:val="24"/>
        </w:rPr>
        <w:t>Data published recently have also shown that pemetrexed has activity for patients with non-small-cell lung cancer (NSCLC)</w:t>
      </w:r>
      <w:r>
        <w:rPr>
          <w:sz w:val="24"/>
          <w:vertAlign w:val="superscript"/>
        </w:rPr>
        <w:t>2</w:t>
      </w:r>
      <w:r>
        <w:rPr>
          <w:sz w:val="24"/>
        </w:rPr>
        <w:t>. Currently, Lilly's Gemzar</w:t>
      </w:r>
      <w:r>
        <w:rPr>
          <w:rFonts w:eastAsia="Symbol" w:cs="Symbol" w:ascii="Symbol" w:hAnsi="Symbol"/>
          <w:sz w:val="24"/>
          <w:vertAlign w:val="superscript"/>
        </w:rPr>
        <w:sym w:font="Symbol" w:char="f0d2"/>
      </w:r>
      <w:r>
        <w:rPr>
          <w:sz w:val="24"/>
        </w:rPr>
        <w:t xml:space="preserve"> (gemcitabine hydrochloride) is a standard of care in Europe for NSCLC and worldwide for pancreatic cancer, and it is an emerging standard of care in Europe for bladder cancer.  Trials are currently ongoing to determine the efficacy of pemetrexed and Gemzar as combination therapy for the disease. </w:t>
      </w:r>
    </w:p>
    <w:p>
      <w:pPr>
        <w:pStyle w:val="Normal"/>
        <w:suppressAutoHyphens w:val="true"/>
        <w:spacing w:lineRule="atLeast" w:line="360"/>
        <w:rPr>
          <w:sz w:val="24"/>
        </w:rPr>
      </w:pPr>
      <w:r>
        <w:rPr>
          <w:sz w:val="24"/>
        </w:rPr>
      </w:r>
    </w:p>
    <w:p>
      <w:pPr>
        <w:pStyle w:val="Heading3"/>
        <w:suppressAutoHyphens w:val="true"/>
        <w:spacing w:lineRule="atLeast" w:line="360"/>
        <w:ind w:hanging="0" w:start="0"/>
        <w:rPr>
          <w:b w:val="false"/>
          <w:color w:val="000000"/>
          <w:lang w:val="en-US"/>
        </w:rPr>
      </w:pPr>
      <w:r>
        <w:rPr/>
        <w:t>Encouraging Trial Results</w:t>
        <w:br/>
      </w:r>
      <w:r>
        <w:rPr>
          <w:b w:val="false"/>
        </w:rPr>
        <w:t>New Phase II trial results presented at ECCO have shown that pemetrexed demonstrates promising activity in malignant pleural mesothelioma and is well tolerated</w:t>
      </w:r>
      <w:r>
        <w:rPr>
          <w:b w:val="false"/>
          <w:vertAlign w:val="superscript"/>
        </w:rPr>
        <w:t>1</w:t>
      </w:r>
      <w:r>
        <w:rPr>
          <w:b w:val="false"/>
        </w:rPr>
        <w:t>.  Malignant pleural mesothelioma is most frequently caused by exposure to asbestos and the incidence of the disease is likely to peak over the next two decades as it manifests in patients exposed to asbestos some years ago.</w:t>
      </w:r>
    </w:p>
    <w:p>
      <w:pPr>
        <w:pStyle w:val="Normal"/>
        <w:suppressAutoHyphens w:val="true"/>
        <w:autoSpaceDE w:val="false"/>
        <w:spacing w:lineRule="atLeast" w:line="360"/>
        <w:rPr>
          <w:b/>
          <w:color w:val="000000"/>
          <w:sz w:val="24"/>
          <w:lang w:val="en-US"/>
        </w:rPr>
      </w:pPr>
      <w:r>
        <w:rPr>
          <w:b/>
          <w:color w:val="000000"/>
          <w:sz w:val="24"/>
          <w:lang w:val="en-US"/>
        </w:rPr>
      </w:r>
    </w:p>
    <w:p>
      <w:pPr>
        <w:pStyle w:val="Normal"/>
        <w:suppressAutoHyphens w:val="true"/>
        <w:autoSpaceDE w:val="false"/>
        <w:spacing w:lineRule="atLeast" w:line="360"/>
        <w:rPr/>
      </w:pPr>
      <w:r>
        <w:rPr>
          <w:color w:val="000000"/>
          <w:sz w:val="24"/>
        </w:rPr>
        <w:t xml:space="preserve">The Alliance for Lung Cancer Advocacy, Support, and Education (ALCASE), the leading not-for-profit organization solely dedicated to helping those living with lung cancer, is very excited about the development of pemetrexed. "People suffering from mesothelioma are often diagnosed when the disease is advanced and their prognosis is poor.  Very few effective treatments are currently available," said Betty Layne, co-executive director, ALCASE, Vancouver, Washington, USA. "The early trial results with pemetrexed are exciting and offer the promise of a new treatment option to people with malignant pleural </w:t>
      </w:r>
      <w:r>
        <w:rPr>
          <w:sz w:val="24"/>
        </w:rPr>
        <w:t>mesothelioma.</w:t>
      </w:r>
      <w:r>
        <w:rPr>
          <w:color w:val="000000"/>
          <w:sz w:val="24"/>
        </w:rPr>
        <w:t>"</w:t>
      </w:r>
      <w:r>
        <w:rPr>
          <w:sz w:val="24"/>
        </w:rPr>
        <w:t xml:space="preserve"> </w:t>
      </w:r>
    </w:p>
    <w:p>
      <w:pPr>
        <w:pStyle w:val="Normal"/>
        <w:suppressAutoHyphens w:val="true"/>
        <w:spacing w:lineRule="atLeast" w:line="360"/>
        <w:rPr>
          <w:sz w:val="24"/>
        </w:rPr>
      </w:pPr>
      <w:r>
        <w:rPr>
          <w:sz w:val="24"/>
        </w:rPr>
      </w:r>
    </w:p>
    <w:p>
      <w:pPr>
        <w:pStyle w:val="Normal"/>
        <w:suppressAutoHyphens w:val="true"/>
        <w:spacing w:lineRule="atLeast" w:line="360"/>
        <w:rPr/>
      </w:pPr>
      <w:r>
        <w:rPr>
          <w:sz w:val="24"/>
        </w:rPr>
        <w:t xml:space="preserve">Clinical data from a Phase II multi-centre study on pemetrexed published recently in the journal </w:t>
      </w:r>
      <w:r>
        <w:rPr>
          <w:i/>
          <w:sz w:val="24"/>
        </w:rPr>
        <w:t>Cancer</w:t>
      </w:r>
      <w:r>
        <w:rPr>
          <w:sz w:val="24"/>
        </w:rPr>
        <w:t>, demonstrate that the drug shows activity in non-small-cell lung cancer, including advanced forms of the cancer.  The study highlighted that the response rate of patients with advanced NSCLC was 45.8 percent, while the overall response rate in this study was 44.8 percent</w:t>
      </w:r>
      <w:r>
        <w:rPr>
          <w:sz w:val="24"/>
          <w:vertAlign w:val="superscript"/>
        </w:rPr>
        <w:t>2</w:t>
      </w:r>
      <w:r>
        <w:rPr>
          <w:sz w:val="24"/>
        </w:rPr>
        <w:t>.</w:t>
      </w:r>
    </w:p>
    <w:p>
      <w:pPr>
        <w:pStyle w:val="LillySubject"/>
        <w:spacing w:lineRule="atLeast" w:line="360"/>
        <w:rPr>
          <w:rFonts w:ascii="Times New Roman" w:hAnsi="Times New Roman" w:cs="Times New Roman"/>
          <w:sz w:val="24"/>
        </w:rPr>
      </w:pPr>
      <w:r>
        <w:rPr>
          <w:rFonts w:cs="Times New Roman" w:ascii="Times New Roman" w:hAnsi="Times New Roman"/>
          <w:sz w:val="24"/>
        </w:rPr>
      </w:r>
    </w:p>
    <w:p>
      <w:pPr>
        <w:pStyle w:val="NormalWeb"/>
        <w:suppressAutoHyphens w:val="true"/>
        <w:spacing w:lineRule="atLeast" w:line="360" w:before="0" w:after="0"/>
        <w:rPr>
          <w:rFonts w:ascii="Times New Roman" w:hAnsi="Times New Roman" w:eastAsia="Times New Roman" w:cs="Times New Roman"/>
          <w:b/>
        </w:rPr>
      </w:pPr>
      <w:r>
        <w:rPr>
          <w:rFonts w:eastAsia="Times New Roman" w:cs="Times New Roman" w:ascii="Times New Roman" w:hAnsi="Times New Roman"/>
          <w:b/>
        </w:rPr>
        <w:t>Lilly's Commitment to Oncology</w:t>
      </w:r>
    </w:p>
    <w:p>
      <w:pPr>
        <w:pStyle w:val="Normal"/>
        <w:suppressAutoHyphens w:val="true"/>
        <w:autoSpaceDE w:val="false"/>
        <w:spacing w:lineRule="atLeast" w:line="360"/>
        <w:jc w:val="both"/>
        <w:rPr>
          <w:sz w:val="24"/>
        </w:rPr>
      </w:pPr>
      <w:r>
        <w:rPr>
          <w:color w:val="000000"/>
          <w:sz w:val="24"/>
        </w:rPr>
        <w:t>Lilly Oncology is committed to providing comprehensive healthcare solutions – answers that matter – for oncologists and cancer patients around the world through the discovery and development of breakthrough cancer medicines. Lilly has recently entered into collaboration with Isis Pharmaceuticals to strengthen its leadership position within the oncology marketplace.</w:t>
      </w:r>
    </w:p>
    <w:p>
      <w:pPr>
        <w:pStyle w:val="Normal"/>
        <w:suppressAutoHyphens w:val="true"/>
        <w:spacing w:lineRule="atLeast" w:line="360"/>
        <w:rPr>
          <w:sz w:val="24"/>
        </w:rPr>
      </w:pPr>
      <w:r>
        <w:rPr>
          <w:sz w:val="24"/>
        </w:rPr>
      </w:r>
    </w:p>
    <w:p>
      <w:pPr>
        <w:pStyle w:val="Normal"/>
        <w:suppressAutoHyphens w:val="true"/>
        <w:spacing w:lineRule="atLeast" w:line="360"/>
        <w:rPr>
          <w:sz w:val="24"/>
        </w:rPr>
      </w:pPr>
      <w:r>
        <w:rPr>
          <w:sz w:val="24"/>
        </w:rPr>
        <w:t>Lilly Oncology is currently supporting trials investigating pemetrexed in combination with Gemzar for the treatment of several cancers. Gemzar is currently a standard of care in Europe  for NSCLC and worldwide for pancreatic cancer, and it is an emerging standard of care in Europe for bladder cancer. Trials are currently ongoing to determine the efficacy of pemetrexed and Gemzar as combination therapy for these cancers. These trials are a continuation of Lilly Oncology's efforts to develop effective and well tolerated non-platinum agents for the treatment of a wide variety of cancers.</w:t>
      </w:r>
    </w:p>
    <w:p>
      <w:pPr>
        <w:pStyle w:val="BodyText"/>
        <w:spacing w:lineRule="atLeast" w:line="360"/>
        <w:rPr>
          <w:sz w:val="24"/>
        </w:rPr>
      </w:pPr>
      <w:r>
        <w:rPr>
          <w:sz w:val="24"/>
        </w:rPr>
      </w:r>
    </w:p>
    <w:p>
      <w:pPr>
        <w:pStyle w:val="BodyText"/>
        <w:spacing w:lineRule="atLeast" w:line="360"/>
        <w:rPr/>
      </w:pPr>
      <w:r>
        <w:rPr/>
        <w:t xml:space="preserve">Lilly, a leading innovation-driven corporation, is developing a growing portfolio of best-in-class pharmaceutical products by applying the latest research from its own worldwide laboratories and from collaborations with eminent scientific organisations. </w:t>
      </w:r>
    </w:p>
    <w:p>
      <w:pPr>
        <w:pStyle w:val="BodyText"/>
        <w:spacing w:lineRule="atLeast" w:line="360"/>
        <w:rPr/>
      </w:pPr>
      <w:r>
        <w:rPr/>
        <w:t>Headquartered in Indianapolis, Ind., Lilly provides answers – through medicines and information – for some of the world's most urgent medical needs.</w:t>
      </w:r>
    </w:p>
    <w:p>
      <w:pPr>
        <w:pStyle w:val="LillySubject"/>
        <w:spacing w:lineRule="auto" w:line="240"/>
        <w:rPr>
          <w:rFonts w:ascii="Times New Roman" w:hAnsi="Times New Roman" w:cs="Times New Roman"/>
          <w:b/>
          <w:sz w:val="20"/>
        </w:rPr>
      </w:pPr>
      <w:r>
        <w:rPr>
          <w:rFonts w:cs="Times New Roman" w:ascii="Times New Roman" w:hAnsi="Times New Roman"/>
          <w:b/>
          <w:sz w:val="20"/>
        </w:rPr>
        <w:t>Notes to Editors</w:t>
      </w:r>
    </w:p>
    <w:p>
      <w:pPr>
        <w:pStyle w:val="BodyText"/>
        <w:spacing w:lineRule="auto" w:line="240"/>
        <w:rPr>
          <w:sz w:val="20"/>
        </w:rPr>
      </w:pPr>
      <w:r>
        <w:rPr>
          <w:sz w:val="20"/>
        </w:rPr>
        <w:t>Pemetrexed is a multitargeted antifolate that works by blocking at least three separate enzymes necessary for cancer cell division and tumour growth. When any one or more of these enzymes is blocked, it becomes very difficult or impossible for a cancer cell to reproduce. By blocking three separate enzymes, which no currently approved antifolate does, pemetrexed may be able to continue working where other antifolates stop.</w:t>
      </w:r>
    </w:p>
    <w:p>
      <w:pPr>
        <w:pStyle w:val="BodyText"/>
        <w:spacing w:lineRule="auto" w:line="240"/>
        <w:jc w:val="center"/>
        <w:rPr>
          <w:sz w:val="20"/>
        </w:rPr>
      </w:pPr>
      <w:r>
        <w:rPr>
          <w:sz w:val="20"/>
        </w:rPr>
      </w:r>
    </w:p>
    <w:p>
      <w:pPr>
        <w:pStyle w:val="BodyTextIndent2"/>
        <w:tabs>
          <w:tab w:val="clear" w:pos="720"/>
        </w:tabs>
        <w:suppressAutoHyphens w:val="true"/>
        <w:ind w:hanging="0" w:start="0" w:end="0"/>
        <w:rPr/>
      </w:pPr>
      <w:r>
        <w:rPr>
          <w:sz w:val="20"/>
          <w:lang w:val="en-GB"/>
        </w:rPr>
        <w:t>Gemzar</w:t>
      </w:r>
      <w:r>
        <w:rPr>
          <w:rFonts w:eastAsia="Symbol" w:cs="Symbol" w:ascii="Symbol" w:hAnsi="Symbol"/>
          <w:sz w:val="20"/>
          <w:vertAlign w:val="superscript"/>
          <w:lang w:val="en-GB"/>
        </w:rPr>
        <w:sym w:font="Symbol" w:char="f0d2"/>
      </w:r>
      <w:r>
        <w:rPr>
          <w:sz w:val="20"/>
          <w:lang w:val="en-GB"/>
        </w:rPr>
        <w:t xml:space="preserve"> (gemcitabine hydrochloride) </w:t>
      </w:r>
      <w:r>
        <w:rPr>
          <w:sz w:val="20"/>
        </w:rPr>
        <w:t>is a nucleoside analogue that interferes with the processes of DNA production and by doing so,</w:t>
      </w:r>
      <w:r>
        <w:rPr>
          <w:sz w:val="20"/>
          <w:lang w:val="en-GB"/>
        </w:rPr>
        <w:t xml:space="preserve"> Gemzar</w:t>
      </w:r>
      <w:r>
        <w:rPr>
          <w:sz w:val="20"/>
        </w:rPr>
        <w:t xml:space="preserve"> prevents cancer cells from replicating and thus slows or stops tumour growth.</w:t>
      </w:r>
    </w:p>
    <w:p>
      <w:pPr>
        <w:pStyle w:val="LillySubject"/>
        <w:spacing w:lineRule="auto" w:line="240"/>
        <w:rPr>
          <w:rFonts w:ascii="Times New Roman" w:hAnsi="Times New Roman" w:cs="Times New Roman"/>
          <w:sz w:val="20"/>
        </w:rPr>
      </w:pPr>
      <w:r>
        <w:rPr>
          <w:rFonts w:cs="Times New Roman" w:ascii="Times New Roman" w:hAnsi="Times New Roman"/>
          <w:sz w:val="20"/>
        </w:rPr>
      </w:r>
    </w:p>
    <w:p>
      <w:pPr>
        <w:pStyle w:val="LillySubject"/>
        <w:spacing w:lineRule="auto" w:line="240"/>
        <w:rPr>
          <w:rFonts w:ascii="Times New Roman" w:hAnsi="Times New Roman" w:cs="Times New Roman"/>
          <w:sz w:val="20"/>
        </w:rPr>
      </w:pPr>
      <w:r>
        <w:rPr>
          <w:rFonts w:cs="Times New Roman" w:ascii="Times New Roman" w:hAnsi="Times New Roman"/>
          <w:sz w:val="20"/>
        </w:rPr>
        <w:t xml:space="preserve">Non-small-cell lung cancer represents 75 percent to 80 percent of all cases of lung cancer and includes three distinct types of lung cancer: squamous cell carcinoma, adenocarcinoma, and large cell carcinoma. These subtypes are grouped together and called "non-small-cell lung cancer" because their pattern of spread and their treatment differ from small cell lung cancer, and when diagnosed at an early stage, they may have the potential to be cured by surgery. Treatment may include chemotherapy, surgery or radiation.  The average survival rate for patients whose tumour is discovered before it has spread outside the lung (which is only 15 percent of cases) is 49 percent. </w:t>
      </w:r>
    </w:p>
    <w:p>
      <w:pPr>
        <w:pStyle w:val="Normal"/>
        <w:suppressAutoHyphens w:val="true"/>
        <w:rPr>
          <w:rFonts w:ascii="Times New Roman" w:hAnsi="Times New Roman" w:cs="Times New Roman"/>
          <w:sz w:val="20"/>
        </w:rPr>
      </w:pPr>
      <w:r>
        <w:rPr>
          <w:rFonts w:cs="Times New Roman"/>
          <w:sz w:val="20"/>
        </w:rPr>
      </w:r>
    </w:p>
    <w:p>
      <w:pPr>
        <w:pStyle w:val="BodyText"/>
        <w:spacing w:lineRule="auto" w:line="240"/>
        <w:rPr>
          <w:color w:val="000000"/>
          <w:sz w:val="20"/>
        </w:rPr>
      </w:pPr>
      <w:r>
        <w:rPr>
          <w:color w:val="000000"/>
          <w:sz w:val="20"/>
        </w:rPr>
        <w:t>Platinum agents are currently the cornerstone of many chemotherapeutic regimens.  Platinums kill cells and are derived from the metal of the same name.  The most common platinum-based therapies are carboplatin and cisplatin. Both pemetrexed and Gemzar are nonplatinum agents.</w:t>
      </w:r>
    </w:p>
    <w:p>
      <w:pPr>
        <w:pStyle w:val="BodyText"/>
        <w:spacing w:lineRule="auto" w:line="240"/>
        <w:rPr>
          <w:color w:val="000000"/>
          <w:sz w:val="20"/>
        </w:rPr>
      </w:pPr>
      <w:r>
        <w:rPr>
          <w:color w:val="000000"/>
          <w:sz w:val="20"/>
        </w:rPr>
      </w:r>
    </w:p>
    <w:p>
      <w:pPr>
        <w:pStyle w:val="BodyText"/>
        <w:spacing w:lineRule="auto" w:line="240"/>
        <w:rPr>
          <w:b/>
          <w:sz w:val="20"/>
        </w:rPr>
      </w:pPr>
      <w:r>
        <w:rPr>
          <w:b/>
          <w:sz w:val="20"/>
        </w:rPr>
        <w:t>References</w:t>
      </w:r>
    </w:p>
    <w:p>
      <w:pPr>
        <w:pStyle w:val="BodyTextIndent2"/>
        <w:suppressAutoHyphens w:val="true"/>
        <w:ind w:hanging="0" w:start="0" w:end="0"/>
        <w:rPr/>
      </w:pPr>
      <w:r>
        <w:rPr>
          <w:color w:val="000000"/>
          <w:sz w:val="20"/>
        </w:rPr>
        <w:t xml:space="preserve">1. Scagliotti G et al.  </w:t>
      </w:r>
      <w:r>
        <w:rPr>
          <w:sz w:val="20"/>
          <w:lang w:val="en-GB"/>
        </w:rPr>
        <w:t>Phase II study of pemetrexed as a single agent in patients with malignant pleural mesothelioma.  Presented at ECCO 2001.</w:t>
      </w:r>
    </w:p>
    <w:p>
      <w:pPr>
        <w:pStyle w:val="Normal"/>
        <w:suppressAutoHyphens w:val="true"/>
        <w:autoSpaceDE w:val="false"/>
        <w:rPr/>
      </w:pPr>
      <w:r>
        <w:rPr>
          <w:color w:val="000000"/>
        </w:rPr>
        <w:t xml:space="preserve">2.Shepherd F et al.  Phase II study of pemetrexed, a multitargeted antifolate, and cisplatin as first-line therapy in patients with advanced non-small-cell lung carcinoma.  </w:t>
      </w:r>
      <w:r>
        <w:rPr>
          <w:i/>
          <w:color w:val="000000"/>
        </w:rPr>
        <w:t xml:space="preserve">Cancer </w:t>
      </w:r>
      <w:r>
        <w:rPr>
          <w:color w:val="000000"/>
        </w:rPr>
        <w:t>2001;92(3):595-600.</w:t>
      </w:r>
    </w:p>
    <w:p>
      <w:pPr>
        <w:pStyle w:val="BodyText"/>
        <w:spacing w:lineRule="auto" w:line="240"/>
        <w:rPr>
          <w:color w:val="000000"/>
          <w:sz w:val="20"/>
        </w:rPr>
      </w:pPr>
      <w:r>
        <w:rPr>
          <w:color w:val="000000"/>
          <w:sz w:val="20"/>
        </w:rPr>
      </w:r>
    </w:p>
    <w:p>
      <w:pPr>
        <w:pStyle w:val="Normal"/>
        <w:suppressAutoHyphens w:val="true"/>
        <w:spacing w:lineRule="atLeast" w:line="360"/>
        <w:jc w:val="center"/>
        <w:rPr>
          <w:sz w:val="24"/>
        </w:rPr>
      </w:pPr>
      <w:r>
        <w:rPr>
          <w:sz w:val="24"/>
        </w:rPr>
        <w:t>#</w:t>
        <w:tab/>
        <w:t>#</w:t>
        <w:tab/>
        <w:t>#</w:t>
      </w:r>
    </w:p>
    <w:p>
      <w:pPr>
        <w:pStyle w:val="BodyText"/>
        <w:spacing w:lineRule="auto" w:line="240"/>
        <w:jc w:val="center"/>
        <w:rPr>
          <w:sz w:val="20"/>
        </w:rPr>
      </w:pPr>
      <w:r>
        <w:rPr>
          <w:sz w:val="20"/>
        </w:rPr>
      </w:r>
    </w:p>
    <w:p>
      <w:pPr>
        <w:pStyle w:val="BodyText"/>
        <w:ind w:end="-360"/>
        <w:jc w:val="center"/>
        <w:rPr>
          <w:i/>
          <w:i/>
          <w:sz w:val="20"/>
        </w:rPr>
      </w:pPr>
      <w:r>
        <w:rPr>
          <w:i/>
          <w:sz w:val="20"/>
        </w:rPr>
      </w:r>
    </w:p>
    <w:sectPr>
      <w:type w:val="continuous"/>
      <w:pgSz w:w="12240" w:h="15840"/>
      <w:pgMar w:left="1440" w:right="1440" w:gutter="0" w:header="936" w:top="1440" w:footer="562"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leste">
    <w:charset w:val="00" w:characterSet="windows-1252"/>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DIN-Medium">
    <w:charset w:val="00" w:characterSet="windows-1252"/>
    <w:family w:val="swiss"/>
    <w:pitch w:val="variable"/>
  </w:font>
  <w:font w:name="New Century Schlbk">
    <w:altName w:val="Century Schoolbook"/>
    <w:charset w:val="00" w:characterSet="windows-1252"/>
    <w:family w:val="auto"/>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360" w:hRule="atLeast"/>
      </w:trPr>
      <w:tc>
        <w:tcPr>
          <w:tcW w:w="10710" w:type="dxa"/>
          <w:tcBorders>
            <w:top w:val="single" w:sz="4" w:space="0" w:color="000000"/>
          </w:tcBorders>
        </w:tcPr>
        <w:p>
          <w:pPr>
            <w:pStyle w:val="Answers"/>
            <w:snapToGrid w:val="false"/>
            <w:spacing w:lineRule="exact" w:line="200" w:before="120" w:after="0"/>
            <w:ind w:start="1087" w:end="216"/>
            <w:rPr/>
          </w:pPr>
          <w:r>
            <w:rPr/>
          </w:r>
        </w:p>
      </w:tc>
    </w:tr>
  </w:tbl>
  <w:p>
    <w:pPr>
      <w:pStyle w:val="Normal"/>
      <w:spacing w:lineRule="exact" w:line="18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405" w:hRule="atLeast"/>
      </w:trPr>
      <w:tc>
        <w:tcPr>
          <w:tcW w:w="10710" w:type="dxa"/>
          <w:tcBorders>
            <w:bottom w:val="single" w:sz="4" w:space="0" w:color="000000"/>
          </w:tcBorders>
        </w:tcPr>
        <w:p>
          <w:pPr>
            <w:pStyle w:val="MemoFax"/>
            <w:snapToGrid w:val="false"/>
            <w:jc w:val="end"/>
            <w:rPr>
              <w:lang w:val="en-CA"/>
            </w:rPr>
          </w:pPr>
          <w:r>
            <w:rPr>
              <w:lang w:val="en-CA"/>
            </w:rPr>
            <w:object w:dxaOrig="5249" w:dyaOrig="3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3.2pt;margin-top:-32.4pt;width:86.4pt;height:49.8pt;mso-wrap-distance-left:9.05pt;mso-wrap-distance-right:9.05pt;mso-position-horizontal-relative:margin;mso-position-vertical-relative:text" filled="f" o:ole="">
                <v:imagedata r:id="rId2" o:title=""/>
                <w10:wrap type="topAndBottom"/>
              </v:shape>
              <o:OLEObject Type="Embed" ProgID="" ShapeID="ole_rId1" DrawAspect="Content" ObjectID="_459004310" r:id="rId1"/>
            </w:object>
          </w:r>
        </w:p>
      </w:tc>
    </w:tr>
  </w:tbl>
  <w:p>
    <w:pPr>
      <w:pStyle w:val="Address"/>
      <w:spacing w:before="60" w:after="0"/>
      <w:rPr/>
    </w:pPr>
    <w:r>
      <w:rPr/>
      <w:t>Eli Lilly and Company</w:t>
    </w:r>
  </w:p>
  <w:p>
    <w:pPr>
      <w:pStyle w:val="Address"/>
      <w:rPr/>
    </w:pPr>
    <w:r>
      <w:rPr/>
      <w:t>Lilly Corporate Center</w:t>
    </w:r>
  </w:p>
  <w:p>
    <w:pPr>
      <w:pStyle w:val="Address"/>
      <w:rPr/>
    </w:pPr>
    <w:r>
      <w:rPr/>
      <w:t>Indianapolis, Indiana 46285</w:t>
    </w:r>
  </w:p>
  <w:p>
    <w:pPr>
      <w:pStyle w:val="Address"/>
      <w:rPr/>
    </w:pPr>
    <w:r>
      <w:rPr/>
      <w:t>U.S.A.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eleste" w:hAnsi="Celeste" w:cs="Celeste"/>
      <w:sz w:val="24"/>
    </w:rPr>
  </w:style>
  <w:style w:type="paragraph" w:styleId="Heading3">
    <w:name w:val="heading 3"/>
    <w:basedOn w:val="Normal"/>
    <w:next w:val="Normal"/>
    <w:qFormat/>
    <w:pPr>
      <w:keepNext w:val="true"/>
      <w:numPr>
        <w:ilvl w:val="2"/>
        <w:numId w:val="1"/>
      </w:numPr>
      <w:outlineLvl w:val="2"/>
    </w:pPr>
    <w:rPr>
      <w:b/>
      <w:sz w:val="24"/>
      <w:lang w:val="en-GB"/>
    </w:rPr>
  </w:style>
  <w:style w:type="paragraph" w:styleId="Heading4">
    <w:name w:val="heading 4"/>
    <w:basedOn w:val="Normal"/>
    <w:next w:val="Normal"/>
    <w:qFormat/>
    <w:pPr>
      <w:keepNext w:val="true"/>
      <w:numPr>
        <w:ilvl w:val="3"/>
        <w:numId w:val="1"/>
      </w:numPr>
      <w:jc w:val="center"/>
      <w:outlineLvl w:val="3"/>
    </w:pPr>
    <w:rPr>
      <w:rFonts w:ascii="Century Schoolbook" w:hAnsi="Century Schoolbook" w:cs="Century Schoolbook"/>
      <w:i/>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exact" w:line="2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Fax">
    <w:name w:val="Memo/Fax"/>
    <w:basedOn w:val="Normal"/>
    <w:qFormat/>
    <w:pPr>
      <w:spacing w:lineRule="exact" w:line="360"/>
      <w:ind w:hanging="0" w:start="1944" w:end="0"/>
    </w:pPr>
    <w:rPr>
      <w:rFonts w:ascii="Arial" w:hAnsi="Arial" w:cs="Arial"/>
      <w:sz w:val="36"/>
    </w:rPr>
  </w:style>
  <w:style w:type="paragraph" w:styleId="Address">
    <w:name w:val="Address"/>
    <w:basedOn w:val="Normal"/>
    <w:qFormat/>
    <w:pPr>
      <w:spacing w:lineRule="exact" w:line="200"/>
      <w:ind w:hanging="0" w:start="6437" w:end="0"/>
    </w:pPr>
    <w:rPr>
      <w:rFonts w:ascii="Arial" w:hAnsi="Arial" w:cs="Arial"/>
      <w:sz w:val="16"/>
    </w:rPr>
  </w:style>
  <w:style w:type="paragraph" w:styleId="Phone">
    <w:name w:val="Phone"/>
    <w:basedOn w:val="Address"/>
    <w:qFormat/>
    <w:pPr>
      <w:spacing w:before="100" w:after="0"/>
      <w:ind w:hanging="0" w:start="1987" w:end="0"/>
    </w:pPr>
    <w:rPr/>
  </w:style>
  <w:style w:type="paragraph" w:styleId="Answers">
    <w:name w:val="Answers"/>
    <w:basedOn w:val="Normal"/>
    <w:qFormat/>
    <w:pPr>
      <w:spacing w:lineRule="exact" w:line="240" w:before="60" w:after="0"/>
      <w:ind w:hanging="0" w:start="8280" w:end="180"/>
      <w:jc w:val="end"/>
    </w:pPr>
    <w:rPr>
      <w:rFonts w:ascii="DIN-Medium" w:hAnsi="DIN-Medium" w:cs="DIN-Medium"/>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edBodytext">
    <w:name w:val="Boxed Body text"/>
    <w:basedOn w:val="BodyText"/>
    <w:qFormat/>
    <w:pPr>
      <w:suppressAutoHyphens w:val="true"/>
      <w:spacing w:lineRule="exact" w:line="320"/>
      <w:ind w:hanging="0" w:start="1971" w:end="0"/>
    </w:pPr>
    <w:rPr>
      <w:rFonts w:ascii="Times New Roman" w:hAnsi="Times New Roman" w:cs="Times New Roman"/>
      <w:sz w:val="22"/>
    </w:rPr>
  </w:style>
  <w:style w:type="paragraph" w:styleId="LillySubject">
    <w:name w:val="Lilly Subject"/>
    <w:basedOn w:val="BodyText"/>
    <w:qFormat/>
    <w:pPr>
      <w:suppressAutoHyphens w:val="true"/>
    </w:pPr>
    <w:rPr>
      <w:rFonts w:ascii="DIN-Medium" w:hAnsi="DIN-Medium" w:cs="DIN-Medium"/>
      <w:sz w:val="22"/>
    </w:rPr>
  </w:style>
  <w:style w:type="paragraph" w:styleId="trademark">
    <w:name w:val="trademark"/>
    <w:basedOn w:val="Normal"/>
    <w:qFormat/>
    <w:pPr>
      <w:tabs>
        <w:tab w:val="clear" w:pos="720"/>
        <w:tab w:val="left" w:pos="1440" w:leader="none"/>
        <w:tab w:val="left" w:pos="2160" w:leader="none"/>
      </w:tabs>
      <w:spacing w:lineRule="atLeast" w:line="360"/>
      <w:ind w:hanging="720" w:start="720" w:end="0"/>
    </w:pPr>
    <w:rPr>
      <w:rFonts w:ascii="New Century Schlbk;Century Schoolbook" w:hAnsi="New Century Schlbk;Century Schoolbook" w:cs="New Century Schlbk;Century Schoolbook"/>
      <w:sz w:val="24"/>
    </w:rPr>
  </w:style>
  <w:style w:type="paragraph" w:styleId="BodyText2">
    <w:name w:val="Body Text 2"/>
    <w:basedOn w:val="Normal"/>
    <w:qFormat/>
    <w:pPr>
      <w:ind w:firstLine="720" w:start="0" w:end="0"/>
    </w:pPr>
    <w:rPr>
      <w:sz w:val="24"/>
    </w:rPr>
  </w:style>
  <w:style w:type="paragraph" w:styleId="NormalWeb">
    <w:name w:val="Normal (Web)"/>
    <w:basedOn w:val="Normal"/>
    <w:qFormat/>
    <w:pPr>
      <w:spacing w:before="100" w:after="100"/>
    </w:pPr>
    <w:rPr>
      <w:rFonts w:ascii="Arial Unicode MS" w:hAnsi="Arial Unicode MS" w:eastAsia="Arial Unicode MS" w:cs="Arial Unicode MS"/>
      <w:sz w:val="24"/>
      <w:lang w:val="en-GB"/>
    </w:rPr>
  </w:style>
  <w:style w:type="paragraph" w:styleId="BodyTextIndent2">
    <w:name w:val="Body Text Indent 2"/>
    <w:basedOn w:val="Normal"/>
    <w:qFormat/>
    <w:pPr>
      <w:tabs>
        <w:tab w:val="left" w:pos="720" w:leader="none"/>
      </w:tabs>
      <w:ind w:hanging="288" w:start="288"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US-Lilly News</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2001-10-23T13:17:00Z</dcterms:created>
  <dc:creator>Colleen M Parker</dc:creator>
  <dc:description/>
  <dc:language>en-CA</dc:language>
  <cp:lastModifiedBy>nt88133</cp:lastModifiedBy>
  <cp:lastPrinted>2001-10-23T10:49:00Z</cp:lastPrinted>
  <dcterms:modified xsi:type="dcterms:W3CDTF">2001-10-23T13:19:00Z</dcterms:modified>
  <cp:revision>3</cp:revision>
  <dc:subject/>
  <dc:title>  </dc:title>
</cp:coreProperties>
</file>