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ALEXANDER C. DAVIDSON</w:t>
      </w:r>
    </w:p>
    <w:p>
      <w:pPr>
        <w:pStyle w:val="Normal"/>
        <w:jc w:val="center"/>
        <w:rPr>
          <w:sz w:val="24"/>
        </w:rPr>
      </w:pPr>
      <w:r>
        <w:rPr>
          <w:sz w:val="24"/>
        </w:rPr>
        <w:t>40-807 Newport Parkway</w:t>
      </w:r>
    </w:p>
    <w:p>
      <w:pPr>
        <w:pStyle w:val="Normal"/>
        <w:jc w:val="center"/>
        <w:rPr>
          <w:sz w:val="24"/>
        </w:rPr>
      </w:pPr>
      <w:r>
        <w:rPr>
          <w:sz w:val="24"/>
        </w:rPr>
        <w:t>Jersey City, NJ 07310</w:t>
      </w:r>
    </w:p>
    <w:p>
      <w:pPr>
        <w:pStyle w:val="Heading2"/>
        <w:ind w:hanging="0" w:start="0"/>
        <w:rPr>
          <w:rFonts w:ascii="Times New Roman" w:hAnsi="Times New Roman" w:cs="Times New Roman"/>
        </w:rPr>
      </w:pPr>
      <w:r>
        <w:rPr>
          <w:rFonts w:cs="Times New Roman" w:ascii="Times New Roman" w:hAnsi="Times New Roman"/>
        </w:rPr>
        <w:t>Work: (212) 708-4027</w:t>
      </w:r>
    </w:p>
    <w:p>
      <w:pPr>
        <w:pStyle w:val="Normal"/>
        <w:jc w:val="center"/>
        <w:rPr>
          <w:sz w:val="24"/>
        </w:rPr>
      </w:pPr>
      <w:r>
        <w:rPr>
          <w:sz w:val="24"/>
        </w:rPr>
        <w:t>Home: (201) 420-0191</w:t>
      </w:r>
    </w:p>
    <w:p>
      <w:pPr>
        <w:pStyle w:val="Normal"/>
        <w:rPr>
          <w:sz w:val="24"/>
        </w:rPr>
      </w:pPr>
      <w:r>
        <w:rPr>
          <w:sz w:val="24"/>
        </w:rPr>
        <w:t>______________________________________________________________________________</w:t>
      </w:r>
    </w:p>
    <w:p>
      <w:pPr>
        <w:pStyle w:val="Normal"/>
        <w:rPr>
          <w:sz w:val="24"/>
          <w:u w:val="single"/>
        </w:rPr>
      </w:pPr>
      <w:r>
        <w:rPr>
          <w:sz w:val="24"/>
          <w:u w:val="single"/>
        </w:rPr>
      </w:r>
    </w:p>
    <w:p>
      <w:pPr>
        <w:pStyle w:val="Heading1"/>
        <w:ind w:hanging="0" w:start="0"/>
        <w:rPr/>
      </w:pPr>
      <w:r>
        <w:rPr/>
        <w:t>PROFESSIONAL EXPERIENCE</w:t>
      </w:r>
    </w:p>
    <w:p>
      <w:pPr>
        <w:pStyle w:val="Normal"/>
        <w:rPr>
          <w:b/>
          <w:sz w:val="24"/>
          <w:u w:val="single"/>
        </w:rPr>
      </w:pPr>
      <w:r>
        <w:rPr>
          <w:b/>
          <w:sz w:val="24"/>
          <w:u w:val="single"/>
        </w:rPr>
      </w:r>
    </w:p>
    <w:p>
      <w:pPr>
        <w:pStyle w:val="Normal"/>
        <w:rPr/>
      </w:pPr>
      <w:r>
        <w:rPr>
          <w:sz w:val="22"/>
        </w:rPr>
        <w:t>1998-Present</w:t>
      </w:r>
      <w:r>
        <w:rPr>
          <w:sz w:val="24"/>
        </w:rPr>
        <w:tab/>
        <w:tab/>
      </w:r>
      <w:r>
        <w:rPr>
          <w:b/>
          <w:sz w:val="22"/>
          <w:u w:val="single"/>
        </w:rPr>
        <w:t>Arthur Andersen</w:t>
      </w:r>
      <w:r>
        <w:rPr>
          <w:sz w:val="22"/>
        </w:rPr>
        <w:t>, New York, NY 10105</w:t>
      </w:r>
    </w:p>
    <w:p>
      <w:pPr>
        <w:pStyle w:val="Normal"/>
        <w:ind w:hanging="2160" w:start="2160" w:end="0"/>
        <w:rPr/>
      </w:pPr>
      <w:r>
        <w:rPr>
          <w:b/>
          <w:sz w:val="22"/>
        </w:rPr>
        <w:t>Senior Manager</w:t>
        <w:tab/>
        <w:t>Derivatives and Treasury Risk Management Group</w:t>
      </w:r>
      <w:r>
        <w:rPr>
          <w:sz w:val="22"/>
        </w:rPr>
        <w:t xml:space="preserve"> (DTRM) is a group of consulting professionals responsible for maintaining an expertise in valuation, market and credit risk management, accounting and operational issues surrounding credit instruments and over-the-counter and exchange-traded derivative products.</w:t>
      </w:r>
    </w:p>
    <w:p>
      <w:pPr>
        <w:pStyle w:val="Normal"/>
        <w:ind w:hanging="2160" w:start="2160" w:end="0"/>
        <w:rPr>
          <w:b/>
          <w:sz w:val="22"/>
        </w:rPr>
      </w:pPr>
      <w:r>
        <w:rPr>
          <w:b/>
          <w:sz w:val="22"/>
        </w:rPr>
        <w:tab/>
        <w:t>Projects include:</w:t>
      </w:r>
    </w:p>
    <w:p>
      <w:pPr>
        <w:pStyle w:val="Normal"/>
        <w:numPr>
          <w:ilvl w:val="0"/>
          <w:numId w:val="2"/>
        </w:numPr>
        <w:tabs>
          <w:tab w:val="clear" w:pos="720"/>
          <w:tab w:val="left" w:pos="2520" w:leader="none"/>
        </w:tabs>
        <w:ind w:hanging="360" w:start="2520" w:end="0"/>
        <w:rPr>
          <w:sz w:val="22"/>
        </w:rPr>
      </w:pPr>
      <w:r>
        <w:rPr>
          <w:sz w:val="22"/>
        </w:rPr>
        <w:t>Assisted a major bank improve its credit risk management by helping them create a credit value-at-risk measurement system and by identifying and analyzing data in their information system which improved their ability to predict credit quality transitions in their corporate loan and personal mortgages portfolios.</w:t>
      </w:r>
    </w:p>
    <w:p>
      <w:pPr>
        <w:pStyle w:val="Normal"/>
        <w:numPr>
          <w:ilvl w:val="0"/>
          <w:numId w:val="2"/>
        </w:numPr>
        <w:tabs>
          <w:tab w:val="clear" w:pos="720"/>
          <w:tab w:val="left" w:pos="2520" w:leader="none"/>
        </w:tabs>
        <w:ind w:hanging="360" w:start="2520" w:end="0"/>
        <w:rPr>
          <w:sz w:val="22"/>
        </w:rPr>
      </w:pPr>
      <w:r>
        <w:rPr>
          <w:sz w:val="22"/>
        </w:rPr>
        <w:t>Reviewed a major bank’s Mark-to-Market Policy and Procedures manual for its large credit derivatives portfolio and vetted their mark-to-market methodology.</w:t>
      </w:r>
    </w:p>
    <w:p>
      <w:pPr>
        <w:pStyle w:val="Normal"/>
        <w:numPr>
          <w:ilvl w:val="0"/>
          <w:numId w:val="2"/>
        </w:numPr>
        <w:tabs>
          <w:tab w:val="clear" w:pos="720"/>
          <w:tab w:val="left" w:pos="2520" w:leader="none"/>
        </w:tabs>
        <w:ind w:hanging="360" w:start="2520" w:end="0"/>
        <w:rPr>
          <w:sz w:val="22"/>
        </w:rPr>
      </w:pPr>
      <w:r>
        <w:rPr>
          <w:sz w:val="22"/>
        </w:rPr>
        <w:t>Reviewed the Capital Markets expected credit loss calculation methodology for the US branch of a major bank.</w:t>
      </w:r>
    </w:p>
    <w:p>
      <w:pPr>
        <w:pStyle w:val="Normal"/>
        <w:numPr>
          <w:ilvl w:val="0"/>
          <w:numId w:val="2"/>
        </w:numPr>
        <w:tabs>
          <w:tab w:val="clear" w:pos="720"/>
          <w:tab w:val="left" w:pos="2520" w:leader="none"/>
        </w:tabs>
        <w:ind w:hanging="360" w:start="2520" w:end="0"/>
        <w:rPr>
          <w:sz w:val="22"/>
        </w:rPr>
      </w:pPr>
      <w:r>
        <w:rPr>
          <w:sz w:val="22"/>
        </w:rPr>
        <w:t>Helped a major bank’s research department confirm the equity derivative front office’s valuations and to improve their independent price verification policies.</w:t>
      </w:r>
    </w:p>
    <w:p>
      <w:pPr>
        <w:pStyle w:val="Normal"/>
        <w:numPr>
          <w:ilvl w:val="0"/>
          <w:numId w:val="2"/>
        </w:numPr>
        <w:tabs>
          <w:tab w:val="clear" w:pos="720"/>
          <w:tab w:val="left" w:pos="2520" w:leader="none"/>
        </w:tabs>
        <w:ind w:hanging="360" w:start="2520" w:end="0"/>
        <w:rPr>
          <w:sz w:val="22"/>
        </w:rPr>
      </w:pPr>
      <w:r>
        <w:rPr>
          <w:sz w:val="22"/>
        </w:rPr>
        <w:t>Helped a major bank review its capital markets counterparty credit risk limits management information technology system and methodology after a large merger.</w:t>
      </w:r>
    </w:p>
    <w:p>
      <w:pPr>
        <w:pStyle w:val="Normal"/>
        <w:numPr>
          <w:ilvl w:val="0"/>
          <w:numId w:val="2"/>
        </w:numPr>
        <w:tabs>
          <w:tab w:val="clear" w:pos="720"/>
          <w:tab w:val="left" w:pos="2520" w:leader="none"/>
        </w:tabs>
        <w:ind w:hanging="360" w:start="2520" w:end="0"/>
        <w:rPr>
          <w:sz w:val="22"/>
        </w:rPr>
      </w:pPr>
      <w:r>
        <w:rPr>
          <w:sz w:val="22"/>
        </w:rPr>
        <w:t>Managed a review of the value-at-risk system and methodology at a major energy markets dealer.</w:t>
      </w:r>
    </w:p>
    <w:p>
      <w:pPr>
        <w:pStyle w:val="Normal"/>
        <w:numPr>
          <w:ilvl w:val="0"/>
          <w:numId w:val="2"/>
        </w:numPr>
        <w:tabs>
          <w:tab w:val="clear" w:pos="720"/>
          <w:tab w:val="left" w:pos="2520" w:leader="none"/>
        </w:tabs>
        <w:ind w:hanging="360" w:start="2520" w:end="0"/>
        <w:rPr>
          <w:sz w:val="22"/>
        </w:rPr>
      </w:pPr>
      <w:r>
        <w:rPr>
          <w:sz w:val="22"/>
        </w:rPr>
        <w:t>Provided guidance to banks in negotiations with the Internal Revenue Service with respect to proposed agreements on using statistical tests to determine the banks’ tax liabilities on intrabank foreign exchange transactions.</w:t>
      </w:r>
    </w:p>
    <w:p>
      <w:pPr>
        <w:pStyle w:val="Normal"/>
        <w:ind w:start="2160" w:end="0"/>
        <w:rPr>
          <w:sz w:val="22"/>
        </w:rPr>
      </w:pPr>
      <w:r>
        <w:rPr>
          <w:sz w:val="22"/>
        </w:rPr>
      </w:r>
    </w:p>
    <w:p>
      <w:pPr>
        <w:pStyle w:val="Normal"/>
        <w:rPr/>
      </w:pPr>
      <w:r>
        <w:rPr>
          <w:sz w:val="22"/>
        </w:rPr>
        <w:t>1992-1998</w:t>
        <w:tab/>
        <w:tab/>
      </w:r>
      <w:r>
        <w:rPr>
          <w:b/>
          <w:sz w:val="22"/>
          <w:u w:val="single"/>
        </w:rPr>
        <w:t>KMV Corporation</w:t>
      </w:r>
      <w:r>
        <w:rPr>
          <w:sz w:val="22"/>
        </w:rPr>
        <w:t xml:space="preserve">, San Francisco, CA.  94111 </w:t>
      </w:r>
    </w:p>
    <w:p>
      <w:pPr>
        <w:pStyle w:val="Normal"/>
        <w:rPr/>
      </w:pPr>
      <w:r>
        <w:rPr>
          <w:b/>
          <w:sz w:val="22"/>
        </w:rPr>
        <w:t>Senior Research</w:t>
      </w:r>
      <w:r>
        <w:rPr>
          <w:sz w:val="22"/>
        </w:rPr>
        <w:tab/>
        <w:t>Firm which measures and monitors the default risk of public and private firms</w:t>
      </w:r>
    </w:p>
    <w:p>
      <w:pPr>
        <w:pStyle w:val="Normal"/>
        <w:rPr/>
      </w:pPr>
      <w:r>
        <w:rPr>
          <w:b/>
          <w:sz w:val="22"/>
        </w:rPr>
        <w:t>Associate</w:t>
      </w:r>
      <w:r>
        <w:rPr>
          <w:sz w:val="22"/>
        </w:rPr>
        <w:tab/>
        <w:tab/>
        <w:t xml:space="preserve">using an option theoretic approach, measures loss correlations between </w:t>
        <w:tab/>
        <w:tab/>
        <w:tab/>
        <w:tab/>
        <w:tab/>
        <w:t>borrowers, and helps financial institutions manage portfolios of corporate bonds</w:t>
      </w:r>
    </w:p>
    <w:p>
      <w:pPr>
        <w:pStyle w:val="Normal"/>
        <w:rPr>
          <w:sz w:val="22"/>
        </w:rPr>
      </w:pPr>
      <w:r>
        <w:rPr>
          <w:sz w:val="22"/>
        </w:rPr>
        <w:tab/>
        <w:tab/>
        <w:tab/>
        <w:t xml:space="preserve">and loans, measure portfolio loss distributions and determine their capital </w:t>
        <w:tab/>
        <w:tab/>
        <w:tab/>
        <w:tab/>
        <w:t>adequacy.</w:t>
      </w:r>
    </w:p>
    <w:p>
      <w:pPr>
        <w:pStyle w:val="Normal"/>
        <w:rPr/>
      </w:pPr>
      <w:r>
        <w:rPr>
          <w:sz w:val="22"/>
        </w:rPr>
        <w:tab/>
        <w:tab/>
        <w:tab/>
      </w:r>
      <w:r>
        <w:rPr>
          <w:b/>
          <w:sz w:val="22"/>
        </w:rPr>
        <w:t>Projects include</w:t>
      </w:r>
      <w:r>
        <w:rPr>
          <w:sz w:val="22"/>
        </w:rPr>
        <w:t>:</w:t>
      </w:r>
    </w:p>
    <w:p>
      <w:pPr>
        <w:pStyle w:val="Normal"/>
        <w:numPr>
          <w:ilvl w:val="0"/>
          <w:numId w:val="3"/>
        </w:numPr>
        <w:rPr>
          <w:sz w:val="22"/>
        </w:rPr>
      </w:pPr>
      <w:r>
        <w:rPr>
          <w:sz w:val="22"/>
        </w:rPr>
        <w:t>Involved in the research and development of a new generation of credit monitoring tools for public companies in the United States and Canada. Responsible for measuring the effectiveness of the tool and for moving the algorithm from a research to a production mode.  Responsible for the calibration of the tool.  Responsible for the quality control of monthly updates and for continual improvements to the algorithm.</w:t>
      </w:r>
    </w:p>
    <w:p>
      <w:pPr>
        <w:pStyle w:val="Normal"/>
        <w:numPr>
          <w:ilvl w:val="0"/>
          <w:numId w:val="3"/>
        </w:numPr>
        <w:rPr>
          <w:sz w:val="22"/>
        </w:rPr>
      </w:pPr>
      <w:r>
        <w:rPr>
          <w:sz w:val="22"/>
        </w:rPr>
        <w:t>Responsible for the empirical work required to model the asset volatility and asset value of private firms using balance sheet information.  Responsible for calibrating this private firm model using public firm data.</w:t>
      </w:r>
    </w:p>
    <w:p>
      <w:pPr>
        <w:pStyle w:val="Normal"/>
        <w:numPr>
          <w:ilvl w:val="0"/>
          <w:numId w:val="3"/>
        </w:numPr>
        <w:rPr>
          <w:sz w:val="22"/>
        </w:rPr>
      </w:pPr>
      <w:r>
        <w:rPr>
          <w:sz w:val="22"/>
        </w:rPr>
        <w:t>Spearheaded use of the Global Vantage database.  This allowed the extension of the model from North America to large public companies in Asia and Europe.  Spearheaded use of data from the Australian Stock Exchange, which allowed the extension of the model to small cap firms in Australia.</w:t>
      </w:r>
    </w:p>
    <w:p>
      <w:pPr>
        <w:pStyle w:val="Normal"/>
        <w:numPr>
          <w:ilvl w:val="0"/>
          <w:numId w:val="3"/>
        </w:numPr>
        <w:rPr>
          <w:sz w:val="22"/>
        </w:rPr>
      </w:pPr>
      <w:r>
        <w:rPr>
          <w:sz w:val="22"/>
        </w:rPr>
        <w:t>Tested a factor-based correlation model using North American firms.  Extended this model to worldwide firms.  The model is used to measure the default correlation of firms.</w:t>
      </w:r>
    </w:p>
    <w:p>
      <w:pPr>
        <w:pStyle w:val="Normal"/>
        <w:numPr>
          <w:ilvl w:val="0"/>
          <w:numId w:val="3"/>
        </w:numPr>
        <w:rPr>
          <w:sz w:val="22"/>
        </w:rPr>
      </w:pPr>
      <w:r>
        <w:rPr>
          <w:sz w:val="22"/>
        </w:rPr>
        <w:t>Helped develop the initial version of portfolio manager which allows financial institutions to manage their corporate debt portfolio, to measure the risk contributions of individual loans, measure their capital adequacy and measure inputs into RAROC calculations.</w:t>
      </w:r>
    </w:p>
    <w:p>
      <w:pPr>
        <w:pStyle w:val="Normal"/>
        <w:numPr>
          <w:ilvl w:val="0"/>
          <w:numId w:val="3"/>
        </w:numPr>
        <w:rPr>
          <w:sz w:val="22"/>
        </w:rPr>
      </w:pPr>
      <w:r>
        <w:rPr>
          <w:sz w:val="22"/>
        </w:rPr>
        <w:t>Did empirical work on the term structure of US Treasury bonds and notes.</w:t>
      </w:r>
    </w:p>
    <w:p>
      <w:pPr>
        <w:pStyle w:val="Normal"/>
        <w:ind w:start="2160" w:end="0"/>
        <w:rPr/>
      </w:pPr>
      <w:r>
        <w:rPr>
          <w:b/>
          <w:sz w:val="22"/>
        </w:rPr>
        <w:t>Databases used</w:t>
      </w:r>
      <w:r>
        <w:rPr>
          <w:sz w:val="22"/>
        </w:rPr>
        <w:t>:</w:t>
      </w:r>
    </w:p>
    <w:p>
      <w:pPr>
        <w:pStyle w:val="Normal"/>
        <w:ind w:start="2160" w:end="0"/>
        <w:rPr>
          <w:sz w:val="22"/>
        </w:rPr>
      </w:pPr>
      <w:r>
        <w:rPr>
          <w:sz w:val="22"/>
        </w:rPr>
        <w:t>Experienced with Compustat and Global Vantage databases,  Bloomberg, CRISP, Australian Stock Exchange and World Scope data.</w:t>
      </w:r>
    </w:p>
    <w:p>
      <w:pPr>
        <w:pStyle w:val="Normal"/>
        <w:ind w:start="2160" w:end="0"/>
        <w:rPr/>
      </w:pPr>
      <w:r>
        <w:rPr>
          <w:b/>
          <w:sz w:val="22"/>
        </w:rPr>
        <w:t>Software</w:t>
      </w:r>
      <w:r>
        <w:rPr>
          <w:sz w:val="22"/>
        </w:rPr>
        <w:t>:</w:t>
      </w:r>
    </w:p>
    <w:p>
      <w:pPr>
        <w:pStyle w:val="Normal"/>
        <w:ind w:start="2160" w:end="0"/>
        <w:rPr>
          <w:sz w:val="22"/>
        </w:rPr>
      </w:pPr>
      <w:r>
        <w:rPr>
          <w:sz w:val="22"/>
        </w:rPr>
        <w:t>Extensive use of Fortran, SAS, Clipper, Excel, VBA, C++, Foxpro, and MS Word.  Familiarity with Access and SQL.</w:t>
      </w:r>
    </w:p>
    <w:p>
      <w:pPr>
        <w:pStyle w:val="Normal"/>
        <w:rPr>
          <w:sz w:val="22"/>
        </w:rPr>
      </w:pPr>
      <w:r>
        <w:rPr>
          <w:sz w:val="22"/>
        </w:rPr>
      </w:r>
    </w:p>
    <w:p>
      <w:pPr>
        <w:pStyle w:val="Normal"/>
        <w:rPr/>
      </w:pPr>
      <w:r>
        <w:rPr>
          <w:sz w:val="22"/>
        </w:rPr>
        <w:t>1988-1992</w:t>
        <w:tab/>
        <w:tab/>
      </w:r>
      <w:r>
        <w:rPr>
          <w:b/>
          <w:sz w:val="22"/>
          <w:u w:val="single"/>
        </w:rPr>
        <w:t>University of California, Berkeley</w:t>
      </w:r>
      <w:r>
        <w:rPr>
          <w:sz w:val="22"/>
        </w:rPr>
        <w:t>, Berkeley,  CA.  94720</w:t>
      </w:r>
    </w:p>
    <w:p>
      <w:pPr>
        <w:pStyle w:val="Normal"/>
        <w:rPr/>
      </w:pPr>
      <w:r>
        <w:rPr>
          <w:b/>
          <w:sz w:val="22"/>
        </w:rPr>
        <w:t>Teaching Asst.</w:t>
      </w:r>
      <w:r>
        <w:rPr>
          <w:sz w:val="22"/>
        </w:rPr>
        <w:tab/>
        <w:tab/>
        <w:t>Led MBA discussion sections for courses in Corporate Finance, Investments, a</w:t>
      </w:r>
    </w:p>
    <w:p>
      <w:pPr>
        <w:pStyle w:val="Normal"/>
        <w:ind w:start="2160" w:end="0"/>
        <w:rPr>
          <w:sz w:val="22"/>
        </w:rPr>
      </w:pPr>
      <w:r>
        <w:rPr>
          <w:sz w:val="22"/>
        </w:rPr>
        <w:t>and Institutional Finance.  Assisted in creating and grading homework and tests.   Conducted office hours to tutor or consult with students on homework and cases.</w:t>
      </w:r>
    </w:p>
    <w:p>
      <w:pPr>
        <w:pStyle w:val="Normal"/>
        <w:rPr>
          <w:sz w:val="22"/>
        </w:rPr>
      </w:pPr>
      <w:r>
        <w:rPr>
          <w:sz w:val="22"/>
        </w:rPr>
      </w:r>
    </w:p>
    <w:p>
      <w:pPr>
        <w:pStyle w:val="Normal"/>
        <w:rPr>
          <w:sz w:val="22"/>
        </w:rPr>
      </w:pPr>
      <w:r>
        <w:rPr>
          <w:sz w:val="22"/>
        </w:rPr>
      </w:r>
    </w:p>
    <w:p>
      <w:pPr>
        <w:pStyle w:val="Normal"/>
        <w:rPr/>
      </w:pPr>
      <w:r>
        <w:rPr>
          <w:sz w:val="22"/>
        </w:rPr>
        <w:t>1978-1986</w:t>
        <w:tab/>
        <w:tab/>
      </w:r>
      <w:r>
        <w:rPr>
          <w:b/>
          <w:sz w:val="22"/>
          <w:u w:val="single"/>
        </w:rPr>
        <w:t>Atlantic Richfield,  Geophysical Services Inc</w:t>
      </w:r>
      <w:r>
        <w:rPr>
          <w:sz w:val="22"/>
        </w:rPr>
        <w:t>, Houston/Dallas, TX</w:t>
      </w:r>
    </w:p>
    <w:p>
      <w:pPr>
        <w:pStyle w:val="Normal"/>
        <w:rPr/>
      </w:pPr>
      <w:r>
        <w:rPr>
          <w:b/>
          <w:sz w:val="22"/>
        </w:rPr>
        <w:t>Research</w:t>
      </w:r>
      <w:r>
        <w:rPr>
          <w:sz w:val="22"/>
        </w:rPr>
        <w:tab/>
        <w:tab/>
        <w:t xml:space="preserve">Worked on state of the art geophysical data processing projects.  Interfaced with </w:t>
      </w:r>
      <w:r>
        <w:rPr>
          <w:b/>
          <w:sz w:val="22"/>
        </w:rPr>
        <w:t>Geophysicist</w:t>
      </w:r>
      <w:r>
        <w:rPr>
          <w:sz w:val="22"/>
        </w:rPr>
        <w:t xml:space="preserve"> </w:t>
        <w:tab/>
        <w:tab/>
        <w:t xml:space="preserve">clients and in-house research staff on release of new proprietary software.  </w:t>
      </w:r>
    </w:p>
    <w:p>
      <w:pPr>
        <w:pStyle w:val="Normal"/>
        <w:ind w:start="2160" w:end="0"/>
        <w:rPr>
          <w:sz w:val="22"/>
        </w:rPr>
      </w:pPr>
      <w:r>
        <w:rPr>
          <w:sz w:val="22"/>
        </w:rPr>
        <w:t xml:space="preserve">Technical manager and quality control manager.  Managed a team of processing personnel on several multi-million dollar projects. </w:t>
        <w:tab/>
      </w:r>
    </w:p>
    <w:p>
      <w:pPr>
        <w:pStyle w:val="Normal"/>
        <w:rPr>
          <w:sz w:val="22"/>
        </w:rPr>
      </w:pPr>
      <w:r>
        <w:rPr>
          <w:sz w:val="22"/>
        </w:rPr>
      </w:r>
    </w:p>
    <w:p>
      <w:pPr>
        <w:pStyle w:val="Normal"/>
        <w:rPr>
          <w:sz w:val="22"/>
        </w:rPr>
      </w:pPr>
      <w:r>
        <w:rPr>
          <w:b/>
          <w:sz w:val="24"/>
          <w:u w:val="single"/>
        </w:rPr>
        <w:t>EDUCATION AND TRAINING</w:t>
      </w:r>
    </w:p>
    <w:p>
      <w:pPr>
        <w:pStyle w:val="Normal"/>
        <w:rPr>
          <w:sz w:val="22"/>
        </w:rPr>
      </w:pPr>
      <w:r>
        <w:rPr>
          <w:sz w:val="22"/>
        </w:rPr>
      </w:r>
    </w:p>
    <w:p>
      <w:pPr>
        <w:pStyle w:val="Normal"/>
        <w:rPr/>
      </w:pPr>
      <w:r>
        <w:rPr>
          <w:sz w:val="22"/>
        </w:rPr>
        <w:t>1988-1992</w:t>
      </w:r>
      <w:r>
        <w:rPr>
          <w:b/>
          <w:sz w:val="22"/>
        </w:rPr>
        <w:tab/>
        <w:tab/>
        <w:t>University of California, Berkeley</w:t>
      </w:r>
      <w:r>
        <w:rPr>
          <w:sz w:val="22"/>
        </w:rPr>
        <w:t>, Berkeley, CA</w:t>
      </w:r>
    </w:p>
    <w:p>
      <w:pPr>
        <w:pStyle w:val="Normal"/>
        <w:rPr>
          <w:sz w:val="22"/>
        </w:rPr>
      </w:pPr>
      <w:r>
        <w:rPr>
          <w:sz w:val="22"/>
        </w:rPr>
        <w:tab/>
        <w:tab/>
        <w:tab/>
        <w:t>Ph.D. Program in Finance coursework.  GPA 3.6/4.0</w:t>
      </w:r>
    </w:p>
    <w:p>
      <w:pPr>
        <w:pStyle w:val="Normal"/>
        <w:rPr>
          <w:sz w:val="22"/>
        </w:rPr>
      </w:pPr>
      <w:r>
        <w:rPr>
          <w:sz w:val="22"/>
        </w:rPr>
      </w:r>
    </w:p>
    <w:p>
      <w:pPr>
        <w:pStyle w:val="Normal"/>
        <w:rPr/>
      </w:pPr>
      <w:r>
        <w:rPr>
          <w:sz w:val="22"/>
        </w:rPr>
        <w:t>1987-1988</w:t>
        <w:tab/>
        <w:tab/>
      </w:r>
      <w:r>
        <w:rPr>
          <w:b/>
          <w:sz w:val="22"/>
        </w:rPr>
        <w:t>University of Texas, Austin</w:t>
      </w:r>
      <w:r>
        <w:rPr>
          <w:sz w:val="22"/>
        </w:rPr>
        <w:t>, Austin, TX</w:t>
      </w:r>
    </w:p>
    <w:p>
      <w:pPr>
        <w:pStyle w:val="Normal"/>
        <w:rPr>
          <w:sz w:val="22"/>
        </w:rPr>
      </w:pPr>
      <w:r>
        <w:rPr>
          <w:sz w:val="22"/>
        </w:rPr>
        <w:tab/>
        <w:tab/>
        <w:tab/>
        <w:t>Master of Business Administration in Finance</w:t>
      </w:r>
    </w:p>
    <w:p>
      <w:pPr>
        <w:pStyle w:val="Normal"/>
        <w:rPr>
          <w:sz w:val="22"/>
        </w:rPr>
      </w:pPr>
      <w:r>
        <w:rPr>
          <w:sz w:val="22"/>
        </w:rPr>
        <w:tab/>
        <w:tab/>
        <w:tab/>
        <w:t>Dean’s Award for Academic Excellence, GPA 3.9/4.0</w:t>
      </w:r>
    </w:p>
    <w:p>
      <w:pPr>
        <w:pStyle w:val="Normal"/>
        <w:rPr>
          <w:sz w:val="22"/>
        </w:rPr>
      </w:pPr>
      <w:r>
        <w:rPr>
          <w:sz w:val="22"/>
        </w:rPr>
      </w:r>
    </w:p>
    <w:p>
      <w:pPr>
        <w:pStyle w:val="Normal"/>
        <w:rPr/>
      </w:pPr>
      <w:r>
        <w:rPr>
          <w:sz w:val="22"/>
        </w:rPr>
        <w:t>1973-1978</w:t>
        <w:tab/>
        <w:tab/>
      </w:r>
      <w:r>
        <w:rPr>
          <w:b/>
          <w:sz w:val="22"/>
        </w:rPr>
        <w:t>Massachusetts Institute of Technology</w:t>
      </w:r>
      <w:r>
        <w:rPr>
          <w:sz w:val="22"/>
        </w:rPr>
        <w:t>, Cambridge, MA</w:t>
      </w:r>
    </w:p>
    <w:p>
      <w:pPr>
        <w:pStyle w:val="Normal"/>
        <w:rPr>
          <w:sz w:val="22"/>
        </w:rPr>
      </w:pPr>
      <w:r>
        <w:rPr>
          <w:sz w:val="22"/>
        </w:rPr>
        <w:tab/>
        <w:tab/>
        <w:tab/>
        <w:t>Bachelor of Science in Geophysics</w:t>
      </w:r>
    </w:p>
    <w:p>
      <w:pPr>
        <w:pStyle w:val="Normal"/>
        <w:rPr>
          <w:sz w:val="22"/>
        </w:rPr>
      </w:pPr>
      <w:r>
        <w:rPr>
          <w:sz w:val="22"/>
        </w:rPr>
        <w:tab/>
        <w:tab/>
        <w:tab/>
        <w:t>Minors in Mathematics and Physics</w:t>
      </w:r>
    </w:p>
    <w:p>
      <w:pPr>
        <w:pStyle w:val="Normal"/>
        <w:rPr>
          <w:sz w:val="22"/>
        </w:rPr>
      </w:pPr>
      <w:r>
        <w:rPr>
          <w:sz w:val="22"/>
        </w:rPr>
      </w:r>
    </w:p>
    <w:p>
      <w:pPr>
        <w:pStyle w:val="Normal"/>
        <w:jc w:val="center"/>
        <w:rPr/>
      </w:pPr>
      <w:r>
        <w:rPr>
          <w:b/>
          <w:sz w:val="22"/>
        </w:rPr>
        <w:t>REFERENCES ARE AVAILABLE UPON REQUEST</w:t>
      </w:r>
      <w:r>
        <w:rPr>
          <w:sz w:val="22"/>
        </w:rPr>
        <w:tab/>
        <w:tab/>
      </w:r>
    </w:p>
    <w:sectPr>
      <w:type w:val="nextPage"/>
      <w:pgSz w:w="12240" w:h="15840"/>
      <w:pgMar w:left="1440" w:right="1440" w:gutter="0" w:header="0" w:top="1152"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25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jc w:val="center"/>
      <w:outlineLvl w:val="1"/>
    </w:pPr>
    <w:rPr>
      <w:rFonts w:ascii="Book Antiqua" w:hAnsi="Book Antiqua" w:cs="Book Antiqua"/>
      <w:sz w:val="24"/>
    </w:rPr>
  </w:style>
  <w:style w:type="character" w:styleId="WW8Num2z0">
    <w:name w:val="WW8Num2z0"/>
    <w:qFormat/>
    <w:rPr/>
  </w:style>
  <w:style w:type="character" w:styleId="WW8Num3z0">
    <w:name w:val="WW8Num3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1997-01-04T13:50:00Z</dcterms:created>
  <dc:creator>Thinh Le</dc:creator>
  <dc:description/>
  <dc:language>en-CA</dc:language>
  <cp:lastModifiedBy>Arthur Andersen</cp:lastModifiedBy>
  <dcterms:modified xsi:type="dcterms:W3CDTF">2000-03-03T17:23:00Z</dcterms:modified>
  <cp:revision>24</cp:revision>
  <dc:subject/>
  <dc:title>ALEXANDER C. DAVIDSON</dc:title>
</cp:coreProperties>
</file>