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bin" ContentType="application/vnd.openxmlformats-officedocument.oleObject"/>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rPr>
          <w:rFonts w:ascii="Arial" w:hAnsi="Arial" w:cs="Arial"/>
          <w:b/>
          <w:sz w:val="22"/>
        </w:rPr>
      </w:pPr>
      <w:r>
        <w:rPr>
          <w:rFonts w:cs="Arial" w:ascii="Arial" w:hAnsi="Arial"/>
          <w:b/>
          <w:sz w:val="22"/>
        </w:rPr>
        <w:object w:dxaOrig="10800" w:dyaOrig="14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05pt;margin-top:0pt;width:480.25pt;height:640.8pt;mso-wrap-distance-left:9.05pt;mso-wrap-distance-right:9.05pt;mso-position-horizontal-relative:text;mso-position-vertical-relative:text" filled="f" o:ole="">
            <v:imagedata r:id="rId3" o:title=""/>
            <w10:wrap type="topAndBottom"/>
          </v:shape>
          <o:OLEObject Type="Embed" ProgID="PowerPoint.Show.12" ShapeID="ole_rId2" DrawAspect="Content" ObjectID="_1708005561" r:id="rId2"/>
        </w:object>
      </w:r>
      <w:r>
        <w:br w:type="page"/>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Citigroup</w:t>
      </w:r>
    </w:p>
    <w:p>
      <w:pPr>
        <w:pStyle w:val="Normal"/>
        <w:rPr>
          <w:rFonts w:ascii="Arial" w:hAnsi="Arial" w:cs="Arial"/>
          <w:b/>
          <w:sz w:val="22"/>
        </w:rPr>
      </w:pPr>
      <w:r>
        <w:rPr>
          <w:rFonts w:cs="Arial" w:ascii="Arial" w:hAnsi="Arial"/>
          <w:b/>
          <w:sz w:val="22"/>
        </w:rPr>
      </w:r>
    </w:p>
    <w:p>
      <w:pPr>
        <w:pStyle w:val="Normal"/>
        <w:jc w:val="both"/>
        <w:rPr/>
      </w:pPr>
      <w:r>
        <w:rPr>
          <w:rFonts w:cs="Arial" w:ascii="Arial" w:hAnsi="Arial"/>
          <w:b/>
          <w:sz w:val="22"/>
        </w:rPr>
        <w:t>Business Summary</w:t>
      </w:r>
      <w:r>
        <w:rPr>
          <w:sz w:val="22"/>
        </w:rPr>
        <w:t xml:space="preserve"> </w:t>
      </w:r>
    </w:p>
    <w:p>
      <w:pPr>
        <w:pStyle w:val="Normal"/>
        <w:jc w:val="both"/>
        <w:rPr>
          <w:sz w:val="22"/>
        </w:rPr>
      </w:pPr>
      <w:r>
        <w:rPr>
          <w:sz w:val="22"/>
        </w:rPr>
      </w:r>
    </w:p>
    <w:p>
      <w:pPr>
        <w:pStyle w:val="Normal"/>
        <w:jc w:val="both"/>
        <w:rPr>
          <w:sz w:val="22"/>
        </w:rPr>
      </w:pPr>
      <w:r>
        <w:rPr>
          <w:sz w:val="22"/>
        </w:rPr>
        <w:t xml:space="preserve">Citigroup, Inc. is a diversified holding company whose businesses provide a broad range of financial services to consumer and corporate customers in 101 countries and territories. The Company's activities are conducted through Global Consumer, Global Corporate and Investment Bank, Global Investment Management and Private Banking, and Investment Activities. Global Consumer delivers banking, lending, and investment services. Global Corporate and Investment Bank provides corporations, governments, institutions, and investors with financial products and services. Global Investment Management and Private Banking includes asset management services provided to mutual funds, institutional, and individual investors, and personalized wealth management services for high net worth clients. The Investment Activities segment includes the Company's venture capital activities and the realized investment gains and losses related to certain corporate- and insurance-related investments. </w:t>
      </w:r>
    </w:p>
    <w:p>
      <w:pPr>
        <w:pStyle w:val="Normal"/>
        <w:rPr>
          <w:sz w:val="22"/>
        </w:rPr>
      </w:pPr>
      <w:r>
        <w:rPr>
          <w:sz w:val="22"/>
        </w:rPr>
      </w:r>
    </w:p>
    <w:p>
      <w:pPr>
        <w:pStyle w:val="Normal"/>
        <w:jc w:val="both"/>
        <w:rPr/>
      </w:pPr>
      <w:r>
        <w:rPr>
          <w:rFonts w:cs="Arial" w:ascii="Arial" w:hAnsi="Arial"/>
          <w:b/>
          <w:sz w:val="22"/>
        </w:rPr>
        <w:t>Financial Summary</w:t>
      </w:r>
      <w:r>
        <w:rPr>
          <w:sz w:val="22"/>
        </w:rPr>
        <w:t xml:space="preserve"> </w:t>
      </w:r>
    </w:p>
    <w:p>
      <w:pPr>
        <w:pStyle w:val="Normal"/>
        <w:jc w:val="both"/>
        <w:rPr>
          <w:sz w:val="22"/>
        </w:rPr>
      </w:pPr>
      <w:r>
        <w:rPr>
          <w:sz w:val="22"/>
        </w:rPr>
      </w:r>
    </w:p>
    <w:p>
      <w:pPr>
        <w:pStyle w:val="Normal"/>
        <w:jc w:val="both"/>
        <w:rPr>
          <w:sz w:val="22"/>
        </w:rPr>
      </w:pPr>
      <w:r>
        <w:rPr>
          <w:sz w:val="22"/>
        </w:rPr>
        <w:t>Citigroup, Inc. is a diversified holding company whose businesses provide a range of financial services, including banking, insurance and investment services, to consumer and corporate customers around the world. For the six months ended 6/30/00, total revenues rose 16% to $47.4 billion. Net income before accounting change applicable to Common rose 35% to $6.54 billion. Results reflect growth in fee-based Private Client revenues and a lower credit loss provision.</w:t>
      </w:r>
    </w:p>
    <w:p>
      <w:pPr>
        <w:pStyle w:val="Normal"/>
        <w:rPr>
          <w:sz w:val="22"/>
        </w:rPr>
      </w:pPr>
      <w:r>
        <w:rPr>
          <w:sz w:val="22"/>
        </w:rPr>
      </w:r>
    </w:p>
    <w:tbl>
      <w:tblPr>
        <w:tblW w:w="9358" w:type="dxa"/>
        <w:jc w:val="start"/>
        <w:tblInd w:w="30" w:type="dxa"/>
        <w:tblLayout w:type="fixed"/>
        <w:tblCellMar>
          <w:top w:w="0" w:type="dxa"/>
          <w:start w:w="30" w:type="dxa"/>
          <w:bottom w:w="0" w:type="dxa"/>
          <w:end w:w="30" w:type="dxa"/>
        </w:tblCellMar>
      </w:tblPr>
      <w:tblGrid>
        <w:gridCol w:w="7216"/>
        <w:gridCol w:w="1071"/>
        <w:gridCol w:w="1071"/>
      </w:tblGrid>
      <w:tr>
        <w:trPr/>
        <w:tc>
          <w:tcPr>
            <w:tcW w:w="7216" w:type="dxa"/>
            <w:tcBorders/>
            <w:vAlign w:val="center"/>
          </w:tcPr>
          <w:p>
            <w:pPr>
              <w:pStyle w:val="Normal"/>
              <w:snapToGrid w:val="false"/>
              <w:rPr/>
            </w:pPr>
            <w:r>
              <w:rPr/>
            </w:r>
          </w:p>
        </w:tc>
        <w:tc>
          <w:tcPr>
            <w:tcW w:w="2142" w:type="dxa"/>
            <w:gridSpan w:val="2"/>
            <w:tcBorders/>
            <w:vAlign w:val="center"/>
          </w:tcPr>
          <w:p>
            <w:pPr>
              <w:pStyle w:val="Heading1"/>
              <w:ind w:hanging="0" w:start="0"/>
              <w:rPr/>
            </w:pPr>
            <w:r>
              <w:rPr/>
              <w:t>FY1999 Compensation</w:t>
            </w:r>
          </w:p>
        </w:tc>
        <w:tc>
          <w:tcPr>
            <w:tcW w:w="0" w:type="dxa"/>
            <w:vMerge w:val="continue"/>
            <w:tcBorders/>
            <w:vAlign w:val="center"/>
          </w:tcPr>
          <w:p>
            <w:pPr>
              <w:pStyle w:val="Normal"/>
              <w:snapToGrid w:val="false"/>
              <w:rPr/>
            </w:pPr>
            <w:r>
              <w:rPr/>
            </w:r>
          </w:p>
        </w:tc>
      </w:tr>
      <w:tr>
        <w:trPr/>
        <w:tc>
          <w:tcPr>
            <w:tcW w:w="7216" w:type="dxa"/>
            <w:tcBorders/>
            <w:vAlign w:val="center"/>
          </w:tcPr>
          <w:p>
            <w:pPr>
              <w:pStyle w:val="Heading2"/>
              <w:ind w:hanging="0" w:start="0"/>
              <w:rPr/>
            </w:pPr>
            <w:r>
              <w:rPr/>
              <w:t>Executive Attending the Meeting</w:t>
            </w:r>
          </w:p>
        </w:tc>
        <w:tc>
          <w:tcPr>
            <w:tcW w:w="1071" w:type="dxa"/>
            <w:tcBorders/>
            <w:vAlign w:val="center"/>
          </w:tcPr>
          <w:p>
            <w:pPr>
              <w:pStyle w:val="Normal"/>
              <w:jc w:val="end"/>
              <w:rPr>
                <w:sz w:val="18"/>
              </w:rPr>
            </w:pPr>
            <w:r>
              <w:rPr>
                <w:rFonts w:cs="Arial" w:ascii="Arial" w:hAnsi="Arial"/>
                <w:b/>
                <w:sz w:val="18"/>
              </w:rPr>
              <w:t>Pay</w:t>
            </w:r>
          </w:p>
        </w:tc>
        <w:tc>
          <w:tcPr>
            <w:tcW w:w="1071" w:type="dxa"/>
            <w:tcBorders/>
            <w:vAlign w:val="center"/>
          </w:tcPr>
          <w:p>
            <w:pPr>
              <w:pStyle w:val="Normal"/>
              <w:jc w:val="end"/>
              <w:rPr>
                <w:sz w:val="18"/>
              </w:rPr>
            </w:pPr>
            <w:r>
              <w:rPr>
                <w:rFonts w:cs="Arial" w:ascii="Arial" w:hAnsi="Arial"/>
                <w:b/>
                <w:sz w:val="18"/>
              </w:rPr>
              <w:t>Exer</w:t>
            </w:r>
          </w:p>
        </w:tc>
      </w:tr>
      <w:tr>
        <w:trPr/>
        <w:tc>
          <w:tcPr>
            <w:tcW w:w="7216" w:type="dxa"/>
            <w:tcBorders>
              <w:top w:val="single" w:sz="4" w:space="0" w:color="000000"/>
            </w:tcBorders>
            <w:vAlign w:val="center"/>
          </w:tcPr>
          <w:p>
            <w:pPr>
              <w:pStyle w:val="Normal"/>
              <w:snapToGrid w:val="false"/>
              <w:rPr>
                <w:b/>
                <w:sz w:val="18"/>
              </w:rPr>
            </w:pPr>
            <w:r>
              <w:rPr>
                <w:b/>
                <w:sz w:val="18"/>
              </w:rPr>
            </w:r>
          </w:p>
          <w:p>
            <w:pPr>
              <w:pStyle w:val="Normal"/>
              <w:rPr/>
            </w:pPr>
            <w:r>
              <w:rPr>
                <w:b/>
              </w:rPr>
              <w:t>Sanford Weill</w:t>
            </w:r>
            <w:r>
              <w:rPr/>
              <w:t>, 66</w:t>
              <w:br/>
              <w:t>Chairman, CEO</w:t>
            </w:r>
          </w:p>
        </w:tc>
        <w:tc>
          <w:tcPr>
            <w:tcW w:w="1071" w:type="dxa"/>
            <w:tcBorders>
              <w:top w:val="single" w:sz="4" w:space="0" w:color="000000"/>
            </w:tcBorders>
            <w:vAlign w:val="center"/>
          </w:tcPr>
          <w:p>
            <w:pPr>
              <w:pStyle w:val="Normal"/>
              <w:jc w:val="end"/>
              <w:rPr/>
            </w:pPr>
            <w:r>
              <w:rPr/>
              <w:t>$14.5M</w:t>
            </w:r>
          </w:p>
        </w:tc>
        <w:tc>
          <w:tcPr>
            <w:tcW w:w="1071" w:type="dxa"/>
            <w:tcBorders>
              <w:top w:val="single" w:sz="4" w:space="0" w:color="000000"/>
            </w:tcBorders>
            <w:vAlign w:val="center"/>
          </w:tcPr>
          <w:p>
            <w:pPr>
              <w:pStyle w:val="Normal"/>
              <w:jc w:val="end"/>
              <w:rPr/>
            </w:pPr>
            <w:r>
              <w:rPr/>
              <w:t>$76M</w:t>
            </w:r>
          </w:p>
        </w:tc>
      </w:tr>
    </w:tbl>
    <w:p>
      <w:pPr>
        <w:pStyle w:val="Normal"/>
        <w:rPr/>
      </w:pPr>
      <w:r>
        <w:rPr/>
      </w:r>
    </w:p>
    <w:p>
      <w:pPr>
        <w:pStyle w:val="Heading2"/>
        <w:ind w:hanging="0" w:start="0"/>
        <w:rPr/>
      </w:pPr>
      <w:r>
        <w:rPr/>
      </w:r>
    </w:p>
    <w:p>
      <w:pPr>
        <w:pStyle w:val="Heading2"/>
        <w:ind w:hanging="0" w:start="0"/>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rPr>
          <w:rFonts w:cs="Arial" w:ascii="Arial" w:hAnsi="Arial"/>
          <w:b/>
        </w:rPr>
        <w:t>Price and Volume</w:t>
      </w:r>
      <w:r>
        <w:rPr/>
        <w:t xml:space="preserve"> </w:t>
      </w:r>
    </w:p>
    <w:p>
      <w:pPr>
        <w:pStyle w:val="Normal"/>
        <w:tabs>
          <w:tab w:val="clear" w:pos="720"/>
          <w:tab w:val="left" w:pos="4410" w:leader="none"/>
        </w:tabs>
        <w:rPr/>
      </w:pPr>
      <w:r>
        <w:rPr/>
        <w:t xml:space="preserve">52-Week Low on 16-Sep-1999 </w:t>
        <w:tab/>
        <w:t>$</w:t>
      </w:r>
      <w:r>
        <w:rPr>
          <w:rStyle w:val="Typewriter"/>
          <w:rFonts w:cs="Times New Roman"/>
        </w:rPr>
        <w:t>41.875</w:t>
      </w:r>
      <w:r>
        <w:rPr/>
        <w:t xml:space="preserve"> </w:t>
      </w:r>
    </w:p>
    <w:p>
      <w:pPr>
        <w:pStyle w:val="Normal"/>
        <w:tabs>
          <w:tab w:val="clear" w:pos="720"/>
          <w:tab w:val="left" w:pos="4410" w:leader="none"/>
        </w:tabs>
        <w:rPr/>
      </w:pPr>
      <w:r>
        <w:rPr/>
        <w:t xml:space="preserve">Recent Price </w:t>
        <w:tab/>
        <w:t>$</w:t>
      </w:r>
      <w:r>
        <w:rPr>
          <w:rStyle w:val="Typewriter"/>
          <w:rFonts w:cs="Times New Roman"/>
        </w:rPr>
        <w:t>74.781</w:t>
      </w:r>
      <w:r>
        <w:rPr/>
        <w:t xml:space="preserve"> </w:t>
      </w:r>
    </w:p>
    <w:p>
      <w:pPr>
        <w:pStyle w:val="Normal"/>
        <w:tabs>
          <w:tab w:val="clear" w:pos="720"/>
          <w:tab w:val="left" w:pos="4410" w:leader="none"/>
        </w:tabs>
        <w:rPr/>
      </w:pPr>
      <w:r>
        <w:rPr/>
        <w:t xml:space="preserve">52-Week High on 18-Aug-2000 </w:t>
        <w:tab/>
        <w:t>$</w:t>
      </w:r>
      <w:r>
        <w:rPr>
          <w:rStyle w:val="Typewriter"/>
          <w:rFonts w:cs="Times New Roman"/>
        </w:rPr>
        <w:t>75.313</w:t>
      </w:r>
      <w:r>
        <w:rPr/>
        <w:t xml:space="preserve"> </w:t>
      </w:r>
    </w:p>
    <w:p>
      <w:pPr>
        <w:pStyle w:val="Normal"/>
        <w:tabs>
          <w:tab w:val="clear" w:pos="720"/>
          <w:tab w:val="left" w:pos="4410" w:leader="none"/>
        </w:tabs>
        <w:rPr/>
      </w:pPr>
      <w:r>
        <w:rPr/>
        <w:t xml:space="preserve">Beta </w:t>
        <w:tab/>
      </w:r>
      <w:r>
        <w:rPr>
          <w:rStyle w:val="Typewriter"/>
          <w:rFonts w:cs="Times New Roman"/>
        </w:rPr>
        <w:t xml:space="preserve">1.34 </w:t>
      </w:r>
    </w:p>
    <w:p>
      <w:pPr>
        <w:pStyle w:val="Normal"/>
        <w:tabs>
          <w:tab w:val="clear" w:pos="720"/>
          <w:tab w:val="left" w:pos="4410" w:leader="none"/>
        </w:tabs>
        <w:rPr/>
      </w:pPr>
      <w:r>
        <w:rPr/>
        <w:t xml:space="preserve">Daily Volume (3-month avg) </w:t>
        <w:tab/>
      </w:r>
      <w:r>
        <w:rPr>
          <w:rStyle w:val="Typewriter"/>
          <w:rFonts w:cs="Times New Roman"/>
        </w:rPr>
        <w:t>7.37M</w:t>
      </w:r>
      <w:r>
        <w:rPr/>
        <w:t xml:space="preserve"> </w:t>
      </w:r>
    </w:p>
    <w:p>
      <w:pPr>
        <w:pStyle w:val="Normal"/>
        <w:tabs>
          <w:tab w:val="clear" w:pos="720"/>
          <w:tab w:val="left" w:pos="4410" w:leader="none"/>
        </w:tabs>
        <w:rPr/>
      </w:pPr>
      <w:r>
        <w:rPr/>
        <w:t xml:space="preserve">Daily Volume (10-day avg) </w:t>
        <w:tab/>
      </w:r>
      <w:r>
        <w:rPr>
          <w:rStyle w:val="Typewriter"/>
          <w:rFonts w:cs="Times New Roman"/>
        </w:rPr>
        <w:t>6.17M</w:t>
      </w:r>
      <w:r>
        <w:rPr/>
        <w:t xml:space="preserve"> </w:t>
      </w:r>
    </w:p>
    <w:p>
      <w:pPr>
        <w:pStyle w:val="Normal"/>
        <w:tabs>
          <w:tab w:val="clear" w:pos="720"/>
          <w:tab w:val="left" w:pos="4410" w:leader="none"/>
        </w:tabs>
        <w:rPr/>
      </w:pPr>
      <w:r>
        <w:rPr/>
        <w:t xml:space="preserve">52-Week Change </w:t>
        <w:tab/>
      </w:r>
      <w:r>
        <w:rPr>
          <w:rStyle w:val="Typewriter"/>
          <w:rFonts w:cs="Times New Roman"/>
        </w:rPr>
        <w:t>+61.5%</w:t>
      </w:r>
      <w:r>
        <w:rPr/>
        <w:t xml:space="preserve"> </w:t>
      </w:r>
    </w:p>
    <w:p>
      <w:pPr>
        <w:pStyle w:val="Normal"/>
        <w:tabs>
          <w:tab w:val="clear" w:pos="720"/>
          <w:tab w:val="left" w:pos="4410" w:leader="none"/>
        </w:tabs>
        <w:rPr/>
      </w:pPr>
      <w:r>
        <w:drawing>
          <wp:anchor behindDoc="0" distT="0" distB="0" distL="114935" distR="114935" simplePos="0" locked="0" layoutInCell="0" allowOverlap="1" relativeHeight="2">
            <wp:simplePos x="0" y="0"/>
            <wp:positionH relativeFrom="column">
              <wp:posOffset>0</wp:posOffset>
            </wp:positionH>
            <wp:positionV relativeFrom="paragraph">
              <wp:posOffset>502285</wp:posOffset>
            </wp:positionV>
            <wp:extent cx="1810385" cy="905510"/>
            <wp:effectExtent l="0" t="0" r="0" b="0"/>
            <wp:wrapTopAndBottom/>
            <wp:docPr id="1" name="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descr="" title=""/>
                    <pic:cNvPicPr>
                      <a:picLocks noChangeAspect="1" noChangeArrowheads="1"/>
                    </pic:cNvPicPr>
                  </pic:nvPicPr>
                  <pic:blipFill>
                    <a:blip r:link="rId4"/>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52-Week Change relative to S&amp;P500 </w:t>
        <w:tab/>
      </w:r>
      <w:r>
        <w:rPr>
          <w:rStyle w:val="Typewriter"/>
          <w:rFonts w:cs="Times New Roman"/>
        </w:rPr>
        <w:t>+44.7%</w:t>
      </w:r>
      <w:r>
        <w:rPr/>
        <w:t xml:space="preserve"> </w:t>
      </w:r>
    </w:p>
    <w:p>
      <w:pPr>
        <w:pStyle w:val="Normal"/>
        <w:tabs>
          <w:tab w:val="clear" w:pos="720"/>
          <w:tab w:val="left" w:pos="4410" w:leader="none"/>
        </w:tabs>
        <w:rPr/>
      </w:pPr>
      <w:r>
        <w:rPr/>
        <w:t xml:space="preserve">Market Capitalization </w:t>
        <w:tab/>
        <w:t>$</w:t>
      </w:r>
      <w:r>
        <w:rPr>
          <w:rStyle w:val="Typewriter"/>
          <w:rFonts w:cs="Times New Roman"/>
        </w:rPr>
        <w:t>252.3B</w:t>
      </w:r>
      <w:r>
        <w:rPr/>
        <w:t xml:space="preserve"> </w:t>
      </w:r>
      <w:r>
        <w:br w:type="page"/>
      </w:r>
    </w:p>
    <w:p>
      <w:pPr>
        <w:pStyle w:val="Normal"/>
        <w:rPr>
          <w:rFonts w:ascii="Arial" w:hAnsi="Arial" w:cs="Arial"/>
          <w:b/>
          <w:sz w:val="22"/>
        </w:rPr>
      </w:pPr>
      <w:r>
        <w:rPr>
          <w:rFonts w:cs="Arial" w:ascii="Arial" w:hAnsi="Arial"/>
          <w:b/>
          <w:sz w:val="22"/>
        </w:rPr>
        <w:t>Merck &amp; Co.</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Normal"/>
        <w:rPr>
          <w:sz w:val="22"/>
        </w:rPr>
      </w:pPr>
      <w:r>
        <w:rPr>
          <w:sz w:val="22"/>
        </w:rPr>
        <w:t xml:space="preserve">Merck &amp; Co., Inc. is a global research-driven pharmaceutical company that discovers, develops, manufactures and markets a broad range of human and animal health products, directly and through its joint ventures, and provides pharmaceutical benefit services through Merck-Medco Managed Care, L.L.C. (Merck-Medco). The Company's operations are principally managed on a products and services basis and are comprised of two reportable segments: Merck Pharmaceutical and Merck-Medco. Merck Pharmaceutical products consist of therapeutic agents, sold by prescription, for the treatment of human disorders. Merck-Medco revenues are derived from the filling and management of prescriptions and health management programs. </w:t>
      </w:r>
    </w:p>
    <w:p>
      <w:pPr>
        <w:pStyle w:val="Normal"/>
        <w:rPr/>
      </w:pPr>
      <w:r>
        <w:rPr>
          <w:sz w:val="22"/>
        </w:rPr>
        <w:br/>
      </w:r>
      <w:r>
        <w:rPr>
          <w:rFonts w:cs="Arial" w:ascii="Arial" w:hAnsi="Arial"/>
          <w:b/>
          <w:sz w:val="22"/>
        </w:rPr>
        <w:t>Financial Summary</w:t>
      </w:r>
      <w:r>
        <w:rPr>
          <w:sz w:val="22"/>
        </w:rPr>
        <w:t xml:space="preserve"> </w:t>
      </w:r>
    </w:p>
    <w:p>
      <w:pPr>
        <w:pStyle w:val="Normal"/>
        <w:rPr>
          <w:sz w:val="22"/>
        </w:rPr>
      </w:pPr>
      <w:r>
        <w:rPr>
          <w:sz w:val="22"/>
        </w:rPr>
      </w:r>
    </w:p>
    <w:p>
      <w:pPr>
        <w:pStyle w:val="Normal"/>
        <w:rPr/>
      </w:pPr>
      <w:r>
        <w:rPr/>
        <w:t xml:space="preserve">Merck and Co., Inc. is a pharmaceutical company that discovers, develops, produces and markets human/animal health products and services. Merck also provides pharmaceutical benefit services. For the six months ended 6/30/00, sales rose 18% to $18.33 billion. Net income rose 16% to $3.22 billion. Results reflect sales growth of prescription arthritis medicine and other newer and established products, partially offset by higher materials and production costs. </w:t>
      </w:r>
    </w:p>
    <w:tbl>
      <w:tblPr>
        <w:tblW w:w="9358" w:type="dxa"/>
        <w:jc w:val="start"/>
        <w:tblInd w:w="30" w:type="dxa"/>
        <w:tblLayout w:type="fixed"/>
        <w:tblCellMar>
          <w:top w:w="0" w:type="dxa"/>
          <w:start w:w="30" w:type="dxa"/>
          <w:bottom w:w="0" w:type="dxa"/>
          <w:end w:w="30" w:type="dxa"/>
        </w:tblCellMar>
      </w:tblPr>
      <w:tblGrid>
        <w:gridCol w:w="6446"/>
        <w:gridCol w:w="1456"/>
        <w:gridCol w:w="1456"/>
      </w:tblGrid>
      <w:tr>
        <w:trPr/>
        <w:tc>
          <w:tcPr>
            <w:tcW w:w="6446" w:type="dxa"/>
            <w:tcBorders/>
            <w:vAlign w:val="center"/>
          </w:tcPr>
          <w:p>
            <w:pPr>
              <w:pStyle w:val="Normal"/>
              <w:snapToGrid w:val="false"/>
              <w:rPr>
                <w:sz w:val="18"/>
              </w:rPr>
            </w:pPr>
            <w:r>
              <w:rPr>
                <w:sz w:val="18"/>
              </w:rPr>
            </w:r>
          </w:p>
          <w:p>
            <w:pPr>
              <w:pStyle w:val="Normal"/>
              <w:rPr>
                <w:sz w:val="18"/>
              </w:rPr>
            </w:pPr>
            <w:r>
              <w:rPr>
                <w:sz w:val="18"/>
              </w:rPr>
            </w:r>
          </w:p>
        </w:tc>
        <w:tc>
          <w:tcPr>
            <w:tcW w:w="2912" w:type="dxa"/>
            <w:gridSpan w:val="2"/>
            <w:tcBorders/>
            <w:vAlign w:val="center"/>
          </w:tcPr>
          <w:p>
            <w:pPr>
              <w:pStyle w:val="Normal"/>
              <w:jc w:val="end"/>
              <w:rPr>
                <w:sz w:val="18"/>
              </w:rPr>
            </w:pPr>
            <w:r>
              <w:rPr>
                <w:rFonts w:cs="Arial" w:ascii="Arial" w:hAnsi="Arial"/>
                <w:b/>
                <w:sz w:val="18"/>
              </w:rPr>
              <w:t>FY1999 Compensation</w:t>
            </w:r>
          </w:p>
        </w:tc>
        <w:tc>
          <w:tcPr>
            <w:tcW w:w="0" w:type="dxa"/>
            <w:vMerge w:val="continue"/>
            <w:tcBorders/>
            <w:vAlign w:val="center"/>
          </w:tcPr>
          <w:p>
            <w:pPr>
              <w:pStyle w:val="Normal"/>
              <w:snapToGrid w:val="false"/>
              <w:rPr>
                <w:sz w:val="18"/>
              </w:rPr>
            </w:pPr>
            <w:r>
              <w:rPr>
                <w:sz w:val="18"/>
              </w:rPr>
            </w:r>
          </w:p>
        </w:tc>
      </w:tr>
      <w:tr>
        <w:trPr/>
        <w:tc>
          <w:tcPr>
            <w:tcW w:w="6446" w:type="dxa"/>
            <w:tcBorders/>
            <w:vAlign w:val="center"/>
          </w:tcPr>
          <w:p>
            <w:pPr>
              <w:pStyle w:val="Normal"/>
              <w:rPr>
                <w:sz w:val="18"/>
              </w:rPr>
            </w:pPr>
            <w:r>
              <w:rPr>
                <w:rFonts w:cs="Arial" w:ascii="Arial" w:hAnsi="Arial"/>
                <w:b/>
                <w:sz w:val="22"/>
              </w:rPr>
              <w:t>Executive Attending the Meeting</w:t>
            </w:r>
          </w:p>
        </w:tc>
        <w:tc>
          <w:tcPr>
            <w:tcW w:w="1456" w:type="dxa"/>
            <w:tcBorders/>
            <w:vAlign w:val="center"/>
          </w:tcPr>
          <w:p>
            <w:pPr>
              <w:pStyle w:val="Normal"/>
              <w:jc w:val="end"/>
              <w:rPr>
                <w:sz w:val="18"/>
              </w:rPr>
            </w:pPr>
            <w:r>
              <w:rPr>
                <w:rFonts w:cs="Arial" w:ascii="Arial" w:hAnsi="Arial"/>
                <w:b/>
                <w:sz w:val="18"/>
              </w:rPr>
              <w:t>Pay</w:t>
            </w:r>
          </w:p>
        </w:tc>
        <w:tc>
          <w:tcPr>
            <w:tcW w:w="1456" w:type="dxa"/>
            <w:tcBorders/>
            <w:vAlign w:val="center"/>
          </w:tcPr>
          <w:p>
            <w:pPr>
              <w:pStyle w:val="Normal"/>
              <w:jc w:val="end"/>
              <w:rPr>
                <w:sz w:val="18"/>
              </w:rPr>
            </w:pPr>
            <w:r>
              <w:rPr>
                <w:rFonts w:cs="Arial" w:ascii="Arial" w:hAnsi="Arial"/>
                <w:b/>
                <w:sz w:val="18"/>
              </w:rPr>
              <w:t>Exer</w:t>
            </w:r>
          </w:p>
        </w:tc>
      </w:tr>
      <w:tr>
        <w:trPr/>
        <w:tc>
          <w:tcPr>
            <w:tcW w:w="6446" w:type="dxa"/>
            <w:tcBorders>
              <w:top w:val="single" w:sz="4" w:space="0" w:color="000000"/>
            </w:tcBorders>
            <w:vAlign w:val="center"/>
          </w:tcPr>
          <w:p>
            <w:pPr>
              <w:pStyle w:val="Normal"/>
              <w:rPr/>
            </w:pPr>
            <w:r>
              <w:rPr>
                <w:b/>
              </w:rPr>
              <w:t>Raymond Gilmartin</w:t>
            </w:r>
            <w:r>
              <w:rPr/>
              <w:t>, 59</w:t>
              <w:br/>
              <w:t>Chairman, Pres, CEO</w:t>
            </w:r>
          </w:p>
        </w:tc>
        <w:tc>
          <w:tcPr>
            <w:tcW w:w="1456" w:type="dxa"/>
            <w:tcBorders>
              <w:top w:val="single" w:sz="4" w:space="0" w:color="000000"/>
            </w:tcBorders>
            <w:vAlign w:val="center"/>
          </w:tcPr>
          <w:p>
            <w:pPr>
              <w:pStyle w:val="Normal"/>
              <w:jc w:val="end"/>
              <w:rPr/>
            </w:pPr>
            <w:r>
              <w:rPr/>
              <w:t>$6.1M</w:t>
            </w:r>
          </w:p>
        </w:tc>
        <w:tc>
          <w:tcPr>
            <w:tcW w:w="1456" w:type="dxa"/>
            <w:tcBorders>
              <w:top w:val="single" w:sz="4" w:space="0" w:color="000000"/>
            </w:tcBorders>
            <w:vAlign w:val="center"/>
          </w:tcPr>
          <w:p>
            <w:pPr>
              <w:pStyle w:val="Normal"/>
              <w:jc w:val="end"/>
              <w:rPr/>
            </w:pPr>
            <w:r>
              <w:rPr/>
              <w:t xml:space="preserve">-- </w:t>
            </w:r>
          </w:p>
        </w:tc>
      </w:tr>
    </w:tbl>
    <w:p>
      <w:pPr>
        <w:pStyle w:val="Normal"/>
        <w:tabs>
          <w:tab w:val="clear" w:pos="720"/>
          <w:tab w:val="left" w:pos="6476" w:leader="none"/>
          <w:tab w:val="left" w:pos="7932" w:leader="none"/>
          <w:tab w:val="left" w:pos="9388" w:leader="none"/>
        </w:tabs>
        <w:ind w:start="30" w:end="0"/>
        <w:rPr/>
      </w:pPr>
      <w:r>
        <w:rPr/>
      </w:r>
    </w:p>
    <w:p>
      <w:pPr>
        <w:pStyle w:val="Normal"/>
        <w:tabs>
          <w:tab w:val="clear" w:pos="720"/>
          <w:tab w:val="left" w:pos="6476" w:leader="none"/>
          <w:tab w:val="left" w:pos="7932" w:leader="none"/>
          <w:tab w:val="left" w:pos="9388" w:leader="none"/>
        </w:tabs>
        <w:ind w:start="30" w:end="0"/>
        <w:rPr/>
      </w:pPr>
      <w:r>
        <w:rPr/>
      </w:r>
    </w:p>
    <w:p>
      <w:pPr>
        <w:pStyle w:val="Heading3"/>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object w:dxaOrig="2851" w:dyaOrig="142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0pt;margin-top:144.5pt;width:142.55pt;height:71.3pt;mso-wrap-distance-left:9.05pt;mso-wrap-distance-right:9.05pt;mso-position-horizontal-relative:text;mso-position-vertical-relative:text" filled="f" o:ole="">
            <v:imagedata r:id="rId6" o:title=""/>
            <w10:wrap type="topAndBottom"/>
          </v:shape>
          <o:OLEObject Type="Embed" ProgID="" ShapeID="ole_rId5" DrawAspect="Content" ObjectID="_1471735557" r:id="rId5"/>
        </w:object>
      </w:r>
      <w:r>
        <w:rPr>
          <w:rFonts w:cs="Arial" w:ascii="Arial" w:hAnsi="Arial"/>
          <w:b/>
        </w:rPr>
        <w:t>Price and Volume</w:t>
      </w:r>
      <w:r>
        <w:rPr/>
        <w:t xml:space="preserve"> </w:t>
      </w:r>
    </w:p>
    <w:p>
      <w:pPr>
        <w:pStyle w:val="Normal"/>
        <w:tabs>
          <w:tab w:val="clear" w:pos="720"/>
          <w:tab w:val="left" w:pos="4410" w:leader="none"/>
        </w:tabs>
        <w:rPr/>
      </w:pPr>
      <w:r>
        <w:rPr/>
        <w:t xml:space="preserve">52-Week Low on 7-Mar-2000 </w:t>
        <w:tab/>
        <w:t>$</w:t>
      </w:r>
      <w:r>
        <w:rPr>
          <w:rStyle w:val="Typewriter"/>
          <w:rFonts w:cs="Times New Roman"/>
        </w:rPr>
        <w:t xml:space="preserve">52.00 </w:t>
      </w:r>
    </w:p>
    <w:p>
      <w:pPr>
        <w:pStyle w:val="Normal"/>
        <w:tabs>
          <w:tab w:val="clear" w:pos="720"/>
          <w:tab w:val="left" w:pos="4410" w:leader="none"/>
        </w:tabs>
        <w:rPr/>
      </w:pPr>
      <w:r>
        <w:rPr/>
        <w:t xml:space="preserve">Recent Price </w:t>
        <w:tab/>
        <w:t>$</w:t>
      </w:r>
      <w:r>
        <w:rPr>
          <w:rStyle w:val="Typewriter"/>
          <w:rFonts w:cs="Times New Roman"/>
        </w:rPr>
        <w:t xml:space="preserve">72.00 </w:t>
      </w:r>
    </w:p>
    <w:p>
      <w:pPr>
        <w:pStyle w:val="Normal"/>
        <w:tabs>
          <w:tab w:val="clear" w:pos="720"/>
          <w:tab w:val="left" w:pos="4410" w:leader="none"/>
          <w:tab w:val="left" w:pos="4500" w:leader="none"/>
        </w:tabs>
        <w:rPr/>
      </w:pPr>
      <w:r>
        <w:rPr/>
        <w:t xml:space="preserve">52-Week High on 5-Nov-1999 </w:t>
        <w:tab/>
        <w:t>$</w:t>
      </w:r>
      <w:r>
        <w:rPr>
          <w:rStyle w:val="Typewriter"/>
          <w:rFonts w:cs="Times New Roman"/>
        </w:rPr>
        <w:t>81.125</w:t>
      </w:r>
      <w:r>
        <w:rPr/>
        <w:t xml:space="preserve"> </w:t>
      </w:r>
    </w:p>
    <w:p>
      <w:pPr>
        <w:pStyle w:val="Normal"/>
        <w:tabs>
          <w:tab w:val="clear" w:pos="720"/>
          <w:tab w:val="left" w:pos="4410" w:leader="none"/>
        </w:tabs>
        <w:rPr/>
      </w:pPr>
      <w:r>
        <w:rPr/>
        <w:t xml:space="preserve">Beta </w:t>
        <w:tab/>
      </w:r>
      <w:r>
        <w:rPr>
          <w:rStyle w:val="Typewriter"/>
          <w:rFonts w:cs="Times New Roman"/>
        </w:rPr>
        <w:t xml:space="preserve">0.79 </w:t>
      </w:r>
    </w:p>
    <w:p>
      <w:pPr>
        <w:pStyle w:val="Normal"/>
        <w:tabs>
          <w:tab w:val="clear" w:pos="720"/>
          <w:tab w:val="left" w:pos="4410" w:leader="none"/>
        </w:tabs>
        <w:rPr/>
      </w:pPr>
      <w:r>
        <w:rPr/>
        <w:t xml:space="preserve">Daily Volume (3-month avg) </w:t>
        <w:tab/>
      </w:r>
      <w:r>
        <w:rPr>
          <w:rStyle w:val="Typewriter"/>
          <w:rFonts w:cs="Times New Roman"/>
        </w:rPr>
        <w:t>4.80M</w:t>
      </w:r>
      <w:r>
        <w:rPr/>
        <w:t xml:space="preserve"> </w:t>
      </w:r>
    </w:p>
    <w:p>
      <w:pPr>
        <w:pStyle w:val="Normal"/>
        <w:tabs>
          <w:tab w:val="clear" w:pos="720"/>
          <w:tab w:val="left" w:pos="4410" w:leader="none"/>
        </w:tabs>
        <w:rPr/>
      </w:pPr>
      <w:r>
        <w:rPr/>
        <w:t xml:space="preserve">Daily Volume (10-day avg) </w:t>
        <w:tab/>
      </w:r>
      <w:r>
        <w:rPr>
          <w:rStyle w:val="Typewriter"/>
          <w:rFonts w:cs="Times New Roman"/>
        </w:rPr>
        <w:t>3.55M</w:t>
      </w:r>
      <w:r>
        <w:rPr/>
        <w:t xml:space="preserve"> </w:t>
      </w:r>
    </w:p>
    <w:p>
      <w:pPr>
        <w:pStyle w:val="Normal"/>
        <w:tabs>
          <w:tab w:val="clear" w:pos="720"/>
          <w:tab w:val="left" w:pos="4410" w:leader="none"/>
        </w:tabs>
        <w:rPr/>
      </w:pPr>
      <w:r>
        <w:rPr/>
        <w:t xml:space="preserve">52-Week Change </w:t>
        <w:tab/>
      </w:r>
      <w:r>
        <w:rPr>
          <w:rStyle w:val="Typewriter"/>
          <w:rFonts w:cs="Times New Roman"/>
        </w:rPr>
        <w:t>+6.5%</w:t>
      </w:r>
      <w:r>
        <w:rPr/>
        <w:t xml:space="preserve"> </w:t>
      </w:r>
    </w:p>
    <w:p>
      <w:pPr>
        <w:pStyle w:val="Normal"/>
        <w:tabs>
          <w:tab w:val="clear" w:pos="720"/>
          <w:tab w:val="left" w:pos="4410" w:leader="none"/>
        </w:tabs>
        <w:rPr/>
      </w:pPr>
      <w:r>
        <w:rPr/>
        <w:t xml:space="preserve">52-Week Change relative to S&amp;P500 </w:t>
        <w:tab/>
      </w:r>
      <w:r>
        <w:rPr>
          <w:rStyle w:val="Typewriter"/>
          <w:rFonts w:cs="Times New Roman"/>
        </w:rPr>
        <w:t>-4.6%</w:t>
      </w:r>
      <w:r>
        <w:rPr/>
        <w:t xml:space="preserve"> </w:t>
      </w:r>
    </w:p>
    <w:p>
      <w:pPr>
        <w:pStyle w:val="Normal"/>
        <w:tabs>
          <w:tab w:val="clear" w:pos="720"/>
          <w:tab w:val="left" w:pos="4410" w:leader="none"/>
        </w:tabs>
        <w:rPr/>
      </w:pPr>
      <w:r>
        <w:rPr/>
        <w:t xml:space="preserve">Market Capitalization </w:t>
        <w:tab/>
        <w:t>$</w:t>
      </w:r>
      <w:r>
        <w:rPr>
          <w:rStyle w:val="Typewriter"/>
          <w:rFonts w:cs="Times New Roman"/>
        </w:rPr>
        <w:t>165.6B</w:t>
      </w:r>
      <w:r>
        <w:rPr/>
        <w:t xml:space="preserve"> </w:t>
      </w:r>
    </w:p>
    <w:p>
      <w:pPr>
        <w:pStyle w:val="Normal"/>
        <w:tabs>
          <w:tab w:val="clear" w:pos="720"/>
          <w:tab w:val="left" w:pos="6476" w:leader="none"/>
          <w:tab w:val="left" w:pos="7932" w:leader="none"/>
          <w:tab w:val="left" w:pos="9388" w:leader="none"/>
        </w:tabs>
        <w:ind w:start="30" w:end="0"/>
        <w:rPr/>
      </w:pPr>
      <w:r>
        <w:rPr/>
      </w:r>
      <w:r>
        <w:br w:type="page"/>
      </w:r>
    </w:p>
    <w:p>
      <w:pPr>
        <w:pStyle w:val="Normal"/>
        <w:tabs>
          <w:tab w:val="clear" w:pos="720"/>
          <w:tab w:val="left" w:pos="4410" w:leader="none"/>
        </w:tabs>
        <w:rPr>
          <w:rFonts w:ascii="Arial" w:hAnsi="Arial" w:cs="Arial"/>
          <w:b/>
          <w:sz w:val="22"/>
        </w:rPr>
      </w:pPr>
      <w:r>
        <w:rPr>
          <w:rFonts w:cs="Arial" w:ascii="Arial" w:hAnsi="Arial"/>
          <w:b/>
          <w:sz w:val="22"/>
        </w:rPr>
        <w:t>JP Morgan</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Normal"/>
        <w:rPr>
          <w:sz w:val="22"/>
        </w:rPr>
      </w:pPr>
      <w:r>
        <w:rPr>
          <w:sz w:val="22"/>
        </w:rPr>
        <w:t xml:space="preserve">J.P. Morgan &amp; Co. Inc. is a global financial services firm that meets critical financial needs for business enterprises, governments and individuals worldwide. The Company advises on corporate strategy and structure, raises capital, develops, structures and makes markets in financial instruments, and manages investment assets. The Company also commits its own capital to promising enterprises and invests and trades to capture market opportunities for its own account. </w:t>
        <w:br/>
      </w:r>
    </w:p>
    <w:p>
      <w:pPr>
        <w:pStyle w:val="Normal"/>
        <w:rPr/>
      </w:pPr>
      <w:r>
        <w:rPr>
          <w:rFonts w:cs="Arial" w:ascii="Arial" w:hAnsi="Arial"/>
          <w:b/>
          <w:sz w:val="22"/>
        </w:rPr>
        <w:t>Financial Summary</w:t>
      </w:r>
      <w:r>
        <w:rPr>
          <w:sz w:val="22"/>
        </w:rPr>
        <w:t xml:space="preserve"> </w:t>
      </w:r>
    </w:p>
    <w:p>
      <w:pPr>
        <w:pStyle w:val="Normal"/>
        <w:rPr>
          <w:sz w:val="22"/>
        </w:rPr>
      </w:pPr>
      <w:r>
        <w:rPr>
          <w:sz w:val="22"/>
        </w:rPr>
      </w:r>
    </w:p>
    <w:p>
      <w:pPr>
        <w:pStyle w:val="Normal"/>
        <w:rPr>
          <w:sz w:val="22"/>
        </w:rPr>
      </w:pPr>
      <w:r>
        <w:rPr>
          <w:sz w:val="22"/>
        </w:rPr>
        <w:t xml:space="preserve">J.P. Morgan and Co., Inc. is the holding company for subsidiaries engaged globally in banking, financial advisory, securities underwriting, trading and investment fund management services and market making. For the six months ended 6/30/00, interest income rose 15% to $6.28 billion. Net interest income after LLP fell 9% to $836 million. Net income applicable to Common rose 6% to $1.15 billion. Results reflect lower asset values, offset by higher advisory fees. </w:t>
      </w:r>
    </w:p>
    <w:p>
      <w:pPr>
        <w:pStyle w:val="Normal"/>
        <w:rPr>
          <w:sz w:val="22"/>
        </w:rPr>
      </w:pPr>
      <w:r>
        <w:rPr>
          <w:sz w:val="22"/>
        </w:rPr>
      </w:r>
    </w:p>
    <w:tbl>
      <w:tblPr>
        <w:tblW w:w="9280" w:type="dxa"/>
        <w:jc w:val="start"/>
        <w:tblInd w:w="30" w:type="dxa"/>
        <w:tblLayout w:type="fixed"/>
        <w:tblCellMar>
          <w:top w:w="0" w:type="dxa"/>
          <w:start w:w="30" w:type="dxa"/>
          <w:bottom w:w="0" w:type="dxa"/>
          <w:end w:w="30" w:type="dxa"/>
        </w:tblCellMar>
      </w:tblPr>
      <w:tblGrid>
        <w:gridCol w:w="7680"/>
        <w:gridCol w:w="1600"/>
      </w:tblGrid>
      <w:tr>
        <w:trPr/>
        <w:tc>
          <w:tcPr>
            <w:tcW w:w="7680" w:type="dxa"/>
            <w:tcBorders/>
            <w:vAlign w:val="center"/>
          </w:tcPr>
          <w:p>
            <w:pPr>
              <w:pStyle w:val="Normal"/>
              <w:snapToGrid w:val="false"/>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Executive Attending the Meeting</w:t>
            </w:r>
          </w:p>
        </w:tc>
        <w:tc>
          <w:tcPr>
            <w:tcW w:w="1600" w:type="dxa"/>
            <w:tcBorders/>
            <w:vAlign w:val="center"/>
          </w:tcPr>
          <w:p>
            <w:pPr>
              <w:pStyle w:val="Normal"/>
              <w:jc w:val="end"/>
              <w:rPr>
                <w:sz w:val="18"/>
              </w:rPr>
            </w:pPr>
            <w:r>
              <w:rPr>
                <w:rFonts w:cs="Arial" w:ascii="Arial" w:hAnsi="Arial"/>
                <w:b/>
                <w:sz w:val="18"/>
              </w:rPr>
              <w:t>FY1999 Pay</w:t>
            </w:r>
          </w:p>
        </w:tc>
      </w:tr>
      <w:tr>
        <w:trPr/>
        <w:tc>
          <w:tcPr>
            <w:tcW w:w="7680" w:type="dxa"/>
            <w:tcBorders>
              <w:top w:val="single" w:sz="4" w:space="0" w:color="000000"/>
            </w:tcBorders>
            <w:vAlign w:val="center"/>
          </w:tcPr>
          <w:p>
            <w:pPr>
              <w:pStyle w:val="Normal"/>
              <w:snapToGrid w:val="false"/>
              <w:rPr>
                <w:b/>
                <w:sz w:val="22"/>
              </w:rPr>
            </w:pPr>
            <w:r>
              <w:rPr>
                <w:b/>
                <w:sz w:val="22"/>
              </w:rPr>
            </w:r>
          </w:p>
          <w:p>
            <w:pPr>
              <w:pStyle w:val="Normal"/>
              <w:rPr/>
            </w:pPr>
            <w:r>
              <w:rPr>
                <w:b/>
                <w:sz w:val="22"/>
              </w:rPr>
              <w:t>Douglas Warner, III</w:t>
            </w:r>
            <w:r>
              <w:rPr>
                <w:sz w:val="22"/>
              </w:rPr>
              <w:t>, 53</w:t>
              <w:br/>
              <w:t xml:space="preserve">Chairman and President of JP Morgan </w:t>
            </w:r>
          </w:p>
        </w:tc>
        <w:tc>
          <w:tcPr>
            <w:tcW w:w="1600" w:type="dxa"/>
            <w:tcBorders>
              <w:top w:val="single" w:sz="4" w:space="0" w:color="000000"/>
            </w:tcBorders>
            <w:vAlign w:val="center"/>
          </w:tcPr>
          <w:p>
            <w:pPr>
              <w:pStyle w:val="Normal"/>
              <w:jc w:val="end"/>
              <w:rPr>
                <w:sz w:val="22"/>
              </w:rPr>
            </w:pPr>
            <w:r>
              <w:rPr>
                <w:sz w:val="22"/>
              </w:rPr>
              <w:t>$9.9M</w:t>
            </w:r>
          </w:p>
        </w:tc>
      </w:tr>
    </w:tbl>
    <w:p>
      <w:pPr>
        <w:pStyle w:val="Normal"/>
        <w:rPr/>
      </w:pPr>
      <w:r>
        <w:rPr/>
      </w:r>
    </w:p>
    <w:p>
      <w:pPr>
        <w:pStyle w:val="Normal"/>
        <w:rPr/>
      </w:pPr>
      <w:r>
        <w:rPr/>
      </w:r>
    </w:p>
    <w:p>
      <w:pPr>
        <w:pStyle w:val="Heading2"/>
        <w:ind w:hanging="0" w:start="0"/>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rPr>
          <w:rFonts w:cs="Arial" w:ascii="Arial" w:hAnsi="Arial"/>
          <w:b/>
        </w:rPr>
        <w:t>Price and Volume</w:t>
      </w:r>
      <w:r>
        <w:rPr/>
        <w:t xml:space="preserve"> </w:t>
      </w:r>
    </w:p>
    <w:p>
      <w:pPr>
        <w:pStyle w:val="Normal"/>
        <w:tabs>
          <w:tab w:val="clear" w:pos="720"/>
          <w:tab w:val="left" w:pos="4410" w:leader="none"/>
        </w:tabs>
        <w:rPr/>
      </w:pPr>
      <w:r>
        <w:rPr/>
        <w:t xml:space="preserve">52-Week Low on 15-Oct-1999 </w:t>
        <w:tab/>
        <w:t>$</w:t>
      </w:r>
      <w:r>
        <w:rPr>
          <w:rStyle w:val="Typewriter"/>
          <w:rFonts w:cs="Times New Roman"/>
        </w:rPr>
        <w:t>104.688</w:t>
      </w:r>
      <w:r>
        <w:rPr/>
        <w:t xml:space="preserve"> </w:t>
      </w:r>
    </w:p>
    <w:p>
      <w:pPr>
        <w:pStyle w:val="Normal"/>
        <w:tabs>
          <w:tab w:val="clear" w:pos="720"/>
          <w:tab w:val="left" w:pos="4410" w:leader="none"/>
        </w:tabs>
        <w:rPr/>
      </w:pPr>
      <w:r>
        <w:rPr/>
        <w:t xml:space="preserve">Recent Price </w:t>
        <w:tab/>
        <w:t>$</w:t>
      </w:r>
      <w:r>
        <w:rPr>
          <w:rStyle w:val="Typewriter"/>
          <w:rFonts w:cs="Times New Roman"/>
        </w:rPr>
        <w:t>143.688</w:t>
      </w:r>
      <w:r>
        <w:rPr/>
        <w:t xml:space="preserve"> </w:t>
      </w:r>
    </w:p>
    <w:p>
      <w:pPr>
        <w:pStyle w:val="Normal"/>
        <w:tabs>
          <w:tab w:val="clear" w:pos="720"/>
          <w:tab w:val="left" w:pos="4410" w:leader="none"/>
        </w:tabs>
        <w:rPr/>
      </w:pPr>
      <w:r>
        <w:rPr/>
        <w:t xml:space="preserve">52-Week High on 14-Aug-2000 </w:t>
        <w:tab/>
        <w:t>$</w:t>
      </w:r>
      <w:r>
        <w:rPr>
          <w:rStyle w:val="Typewriter"/>
          <w:rFonts w:cs="Times New Roman"/>
        </w:rPr>
        <w:t>147.938</w:t>
      </w:r>
      <w:r>
        <w:rPr/>
        <w:t xml:space="preserve"> </w:t>
      </w:r>
    </w:p>
    <w:p>
      <w:pPr>
        <w:pStyle w:val="Normal"/>
        <w:tabs>
          <w:tab w:val="clear" w:pos="720"/>
          <w:tab w:val="left" w:pos="4410" w:leader="none"/>
        </w:tabs>
        <w:rPr/>
      </w:pPr>
      <w:r>
        <w:rPr/>
        <w:t xml:space="preserve">Beta </w:t>
        <w:tab/>
      </w:r>
      <w:r>
        <w:rPr>
          <w:rStyle w:val="Typewriter"/>
          <w:rFonts w:cs="Times New Roman"/>
        </w:rPr>
        <w:t xml:space="preserve">1.11 </w:t>
      </w:r>
    </w:p>
    <w:p>
      <w:pPr>
        <w:pStyle w:val="Normal"/>
        <w:tabs>
          <w:tab w:val="clear" w:pos="720"/>
          <w:tab w:val="left" w:pos="4410" w:leader="none"/>
        </w:tabs>
        <w:rPr/>
      </w:pPr>
      <w:r>
        <w:rPr/>
        <w:t xml:space="preserve">Daily Volume (3-month avg) </w:t>
        <w:tab/>
      </w:r>
      <w:r>
        <w:rPr>
          <w:rStyle w:val="Typewriter"/>
          <w:rFonts w:cs="Times New Roman"/>
        </w:rPr>
        <w:t>1.33M</w:t>
      </w:r>
      <w:r>
        <w:rPr/>
        <w:t xml:space="preserve"> </w:t>
      </w:r>
    </w:p>
    <w:p>
      <w:pPr>
        <w:pStyle w:val="Normal"/>
        <w:tabs>
          <w:tab w:val="clear" w:pos="720"/>
          <w:tab w:val="left" w:pos="4410" w:leader="none"/>
        </w:tabs>
        <w:rPr/>
      </w:pPr>
      <w:r>
        <w:rPr/>
        <w:t xml:space="preserve">Daily Volume (10-day avg) </w:t>
        <w:tab/>
      </w:r>
      <w:r>
        <w:rPr>
          <w:rStyle w:val="Typewriter"/>
          <w:rFonts w:cs="Times New Roman"/>
        </w:rPr>
        <w:t>1.20M</w:t>
      </w:r>
      <w:r>
        <w:rPr/>
        <w:drawing>
          <wp:anchor behindDoc="0" distT="0" distB="0" distL="114935" distR="114935" simplePos="0" locked="0" layoutInCell="0" allowOverlap="1" relativeHeight="4">
            <wp:simplePos x="0" y="0"/>
            <wp:positionH relativeFrom="column">
              <wp:posOffset>0</wp:posOffset>
            </wp:positionH>
            <wp:positionV relativeFrom="paragraph">
              <wp:posOffset>1038860</wp:posOffset>
            </wp:positionV>
            <wp:extent cx="1810385" cy="905510"/>
            <wp:effectExtent l="0" t="0" r="0" b="0"/>
            <wp:wrapTopAndBottom/>
            <wp:docPr id="2" name="jp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m" descr="" title=""/>
                    <pic:cNvPicPr>
                      <a:picLocks noChangeAspect="1" noChangeArrowheads="1"/>
                    </pic:cNvPicPr>
                  </pic:nvPicPr>
                  <pic:blipFill>
                    <a:blip r:link="rId7"/>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 </w:t>
      </w:r>
    </w:p>
    <w:p>
      <w:pPr>
        <w:pStyle w:val="Normal"/>
        <w:tabs>
          <w:tab w:val="clear" w:pos="720"/>
          <w:tab w:val="left" w:pos="4410" w:leader="none"/>
        </w:tabs>
        <w:rPr/>
      </w:pPr>
      <w:r>
        <w:rPr/>
        <w:t xml:space="preserve">52-Week Change </w:t>
        <w:tab/>
      </w:r>
      <w:r>
        <w:rPr>
          <w:rStyle w:val="Typewriter"/>
          <w:rFonts w:cs="Times New Roman"/>
        </w:rPr>
        <w:t>+8.1%</w:t>
      </w:r>
      <w:r>
        <w:rPr/>
        <w:t xml:space="preserve"> </w:t>
      </w:r>
    </w:p>
    <w:p>
      <w:pPr>
        <w:pStyle w:val="Normal"/>
        <w:tabs>
          <w:tab w:val="clear" w:pos="720"/>
          <w:tab w:val="left" w:pos="4410" w:leader="none"/>
        </w:tabs>
        <w:rPr/>
      </w:pPr>
      <w:r>
        <w:rPr/>
        <w:t xml:space="preserve">52-Week Change relative to S&amp;P500 </w:t>
        <w:tab/>
      </w:r>
      <w:r>
        <w:rPr>
          <w:rStyle w:val="Typewriter"/>
          <w:rFonts w:cs="Times New Roman"/>
        </w:rPr>
        <w:t>-3.1%</w:t>
      </w:r>
      <w:r>
        <w:rPr/>
        <w:t xml:space="preserve"> </w:t>
      </w:r>
    </w:p>
    <w:p>
      <w:pPr>
        <w:pStyle w:val="Normal"/>
        <w:tabs>
          <w:tab w:val="clear" w:pos="720"/>
          <w:tab w:val="left" w:pos="4410" w:leader="none"/>
          <w:tab w:val="left" w:pos="4500" w:leader="none"/>
        </w:tabs>
        <w:rPr/>
      </w:pPr>
      <w:r>
        <w:rPr/>
        <w:t xml:space="preserve">Market Capitalization </w:t>
        <w:tab/>
        <w:t>$</w:t>
      </w:r>
      <w:r>
        <w:rPr>
          <w:rStyle w:val="Typewriter"/>
          <w:rFonts w:cs="Times New Roman"/>
        </w:rPr>
        <w:t>22.9B</w:t>
      </w:r>
      <w:r>
        <w:br w:type="page"/>
      </w:r>
    </w:p>
    <w:p>
      <w:pPr>
        <w:pStyle w:val="Normal"/>
        <w:tabs>
          <w:tab w:val="clear" w:pos="720"/>
          <w:tab w:val="left" w:pos="4410" w:leader="none"/>
          <w:tab w:val="left" w:pos="4500" w:leader="none"/>
        </w:tabs>
        <w:rPr/>
      </w:pPr>
      <w:r>
        <w:rPr>
          <w:rStyle w:val="Typewriter"/>
          <w:rFonts w:cs="Arial" w:ascii="Arial" w:hAnsi="Arial"/>
          <w:b/>
          <w:sz w:val="22"/>
        </w:rPr>
        <w:t>CHASE</w:t>
      </w:r>
    </w:p>
    <w:p>
      <w:pPr>
        <w:pStyle w:val="Normal"/>
        <w:rPr>
          <w:rStyle w:val="Typewriter"/>
          <w:rFonts w:ascii="Arial" w:hAnsi="Arial" w:cs="Arial"/>
          <w:b/>
          <w:sz w:val="22"/>
        </w:rPr>
      </w:pPr>
      <w:r>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BodyText"/>
        <w:rPr>
          <w:sz w:val="22"/>
        </w:rPr>
      </w:pPr>
      <w:r>
        <w:rPr>
          <w:sz w:val="22"/>
        </w:rPr>
        <w:t xml:space="preserve">Chase Manhattan Corporation is a bank holding company that is organized into three major businesses: Global Bank, National Consumer Services and Global Services. The Company conducts domestic and international financial services businesses through various bank and nonbank subsidiaries. The principal bank subsidiaries are The Chase Manhattan Bank, Chase Manhattan Bank USA, N.A., and Chase Bank of Texas, N.A. The Company's principal nonbank subsidiary is Chase Securities, Inc., which is engaged in securities underwriting and dealing activities. The Company's bank and nonbank subsidiaries operate nationally as well as through overseas branches, representative offices, and affiliated banks. </w:t>
      </w:r>
    </w:p>
    <w:p>
      <w:pPr>
        <w:pStyle w:val="Normal"/>
        <w:jc w:val="both"/>
        <w:rPr/>
      </w:pPr>
      <w:r>
        <w:rPr>
          <w:sz w:val="22"/>
        </w:rPr>
        <w:br/>
      </w:r>
      <w:r>
        <w:rPr>
          <w:rFonts w:cs="Arial" w:ascii="Arial" w:hAnsi="Arial"/>
          <w:b/>
          <w:sz w:val="22"/>
        </w:rPr>
        <w:t>Financial Summary</w:t>
      </w:r>
      <w:r>
        <w:rPr>
          <w:sz w:val="22"/>
        </w:rPr>
        <w:t xml:space="preserve"> </w:t>
      </w:r>
    </w:p>
    <w:p>
      <w:pPr>
        <w:pStyle w:val="Normal"/>
        <w:rPr>
          <w:sz w:val="22"/>
        </w:rPr>
      </w:pPr>
      <w:r>
        <w:rPr>
          <w:sz w:val="22"/>
        </w:rPr>
      </w:r>
    </w:p>
    <w:p>
      <w:pPr>
        <w:pStyle w:val="Normal"/>
        <w:jc w:val="both"/>
        <w:rPr>
          <w:sz w:val="22"/>
        </w:rPr>
      </w:pPr>
      <w:r>
        <w:rPr>
          <w:sz w:val="22"/>
        </w:rPr>
        <w:t xml:space="preserve">Chase Manhattan Corp. is a bank holding company that provides domestic and international financial services through various bank and nonbank subsidiaries. For the six months ended 6/00, interest income rose 11% to $11.02 billion. Net interest income after loan loss prov. fell 11% to $3.20 billion. Net income applicable to Common fell 4% to $2.42 billion. Interest income reflects an increase in loan assets, offset by lower interest margins. Earnings reflect higher personnel costs. </w:t>
      </w:r>
    </w:p>
    <w:p>
      <w:pPr>
        <w:pStyle w:val="Normal"/>
        <w:jc w:val="both"/>
        <w:rPr>
          <w:sz w:val="22"/>
        </w:rPr>
      </w:pPr>
      <w:r>
        <w:rPr>
          <w:sz w:val="22"/>
        </w:rPr>
      </w:r>
    </w:p>
    <w:tbl>
      <w:tblPr>
        <w:tblW w:w="9360" w:type="dxa"/>
        <w:jc w:val="start"/>
        <w:tblInd w:w="30" w:type="dxa"/>
        <w:tblLayout w:type="fixed"/>
        <w:tblCellMar>
          <w:top w:w="0" w:type="dxa"/>
          <w:start w:w="30" w:type="dxa"/>
          <w:bottom w:w="0" w:type="dxa"/>
          <w:end w:w="30" w:type="dxa"/>
        </w:tblCellMar>
      </w:tblPr>
      <w:tblGrid>
        <w:gridCol w:w="4800"/>
        <w:gridCol w:w="3390"/>
        <w:gridCol w:w="1170"/>
      </w:tblGrid>
      <w:tr>
        <w:trPr/>
        <w:tc>
          <w:tcPr>
            <w:tcW w:w="4800" w:type="dxa"/>
            <w:tcBorders/>
            <w:vAlign w:val="center"/>
          </w:tcPr>
          <w:p>
            <w:pPr>
              <w:pStyle w:val="Normal"/>
              <w:snapToGrid w:val="false"/>
              <w:rPr>
                <w:sz w:val="18"/>
              </w:rPr>
            </w:pPr>
            <w:r>
              <w:rPr>
                <w:sz w:val="18"/>
              </w:rPr>
            </w:r>
          </w:p>
        </w:tc>
        <w:tc>
          <w:tcPr>
            <w:tcW w:w="4560" w:type="dxa"/>
            <w:gridSpan w:val="2"/>
            <w:tcBorders/>
            <w:vAlign w:val="center"/>
          </w:tcPr>
          <w:p>
            <w:pPr>
              <w:pStyle w:val="Normal"/>
              <w:jc w:val="end"/>
              <w:rPr>
                <w:sz w:val="18"/>
              </w:rPr>
            </w:pPr>
            <w:r>
              <w:rPr>
                <w:rFonts w:cs="Arial" w:ascii="Arial" w:hAnsi="Arial"/>
                <w:b/>
                <w:sz w:val="18"/>
              </w:rPr>
              <w:t>FY1999 Compensation</w:t>
            </w:r>
          </w:p>
        </w:tc>
        <w:tc>
          <w:tcPr>
            <w:tcW w:w="0" w:type="dxa"/>
            <w:vMerge w:val="continue"/>
            <w:tcBorders/>
            <w:vAlign w:val="center"/>
          </w:tcPr>
          <w:p>
            <w:pPr>
              <w:pStyle w:val="Normal"/>
              <w:snapToGrid w:val="false"/>
              <w:rPr>
                <w:sz w:val="18"/>
              </w:rPr>
            </w:pPr>
            <w:r>
              <w:rPr>
                <w:sz w:val="18"/>
              </w:rPr>
            </w:r>
          </w:p>
        </w:tc>
      </w:tr>
      <w:tr>
        <w:trPr/>
        <w:tc>
          <w:tcPr>
            <w:tcW w:w="4800" w:type="dxa"/>
            <w:tcBorders/>
            <w:vAlign w:val="center"/>
          </w:tcPr>
          <w:p>
            <w:pPr>
              <w:pStyle w:val="Normal"/>
              <w:snapToGrid w:val="false"/>
              <w:rPr>
                <w:sz w:val="18"/>
              </w:rPr>
            </w:pPr>
            <w:r>
              <w:rPr>
                <w:sz w:val="18"/>
              </w:rPr>
            </w:r>
          </w:p>
        </w:tc>
        <w:tc>
          <w:tcPr>
            <w:tcW w:w="3390" w:type="dxa"/>
            <w:tcBorders/>
            <w:vAlign w:val="center"/>
          </w:tcPr>
          <w:p>
            <w:pPr>
              <w:pStyle w:val="Normal"/>
              <w:jc w:val="end"/>
              <w:rPr>
                <w:sz w:val="18"/>
              </w:rPr>
            </w:pPr>
            <w:r>
              <w:rPr>
                <w:rFonts w:cs="Arial" w:ascii="Arial" w:hAnsi="Arial"/>
                <w:b/>
                <w:sz w:val="18"/>
              </w:rPr>
              <w:t>Pay</w:t>
            </w:r>
          </w:p>
        </w:tc>
        <w:tc>
          <w:tcPr>
            <w:tcW w:w="1170" w:type="dxa"/>
            <w:tcBorders/>
            <w:vAlign w:val="center"/>
          </w:tcPr>
          <w:p>
            <w:pPr>
              <w:pStyle w:val="Normal"/>
              <w:jc w:val="end"/>
              <w:rPr>
                <w:sz w:val="18"/>
              </w:rPr>
            </w:pPr>
            <w:r>
              <w:rPr>
                <w:rFonts w:cs="Arial" w:ascii="Arial" w:hAnsi="Arial"/>
                <w:b/>
                <w:sz w:val="18"/>
              </w:rPr>
              <w:t>Exer</w:t>
            </w:r>
          </w:p>
        </w:tc>
      </w:tr>
      <w:tr>
        <w:trPr/>
        <w:tc>
          <w:tcPr>
            <w:tcW w:w="4800" w:type="dxa"/>
            <w:tcBorders/>
            <w:vAlign w:val="center"/>
          </w:tcPr>
          <w:p>
            <w:pPr>
              <w:pStyle w:val="Normal"/>
              <w:rPr>
                <w:sz w:val="22"/>
              </w:rPr>
            </w:pPr>
            <w:r>
              <w:rPr>
                <w:rFonts w:cs="Arial" w:ascii="Arial" w:hAnsi="Arial"/>
                <w:b/>
                <w:sz w:val="22"/>
              </w:rPr>
              <w:t>Executive Attending the Meeting</w:t>
            </w:r>
          </w:p>
        </w:tc>
        <w:tc>
          <w:tcPr>
            <w:tcW w:w="4560" w:type="dxa"/>
            <w:gridSpan w:val="2"/>
            <w:tcBorders/>
            <w:vAlign w:val="center"/>
          </w:tcPr>
          <w:p>
            <w:pPr>
              <w:pStyle w:val="Normal"/>
              <w:snapToGrid w:val="false"/>
              <w:rPr>
                <w:sz w:val="22"/>
              </w:rPr>
            </w:pPr>
            <w:r>
              <w:rPr>
                <w:sz w:val="22"/>
              </w:rPr>
            </w:r>
          </w:p>
        </w:tc>
        <w:tc>
          <w:tcPr>
            <w:tcW w:w="0" w:type="dxa"/>
            <w:vMerge w:val="continue"/>
            <w:tcBorders/>
            <w:vAlign w:val="center"/>
          </w:tcPr>
          <w:p>
            <w:pPr>
              <w:pStyle w:val="Normal"/>
              <w:snapToGrid w:val="false"/>
              <w:rPr>
                <w:sz w:val="22"/>
              </w:rPr>
            </w:pPr>
            <w:r>
              <w:rPr>
                <w:sz w:val="22"/>
              </w:rPr>
            </w:r>
          </w:p>
        </w:tc>
      </w:tr>
      <w:tr>
        <w:trPr/>
        <w:tc>
          <w:tcPr>
            <w:tcW w:w="4800" w:type="dxa"/>
            <w:tcBorders>
              <w:top w:val="single" w:sz="4" w:space="0" w:color="000000"/>
            </w:tcBorders>
            <w:vAlign w:val="center"/>
          </w:tcPr>
          <w:p>
            <w:pPr>
              <w:pStyle w:val="Normal"/>
              <w:snapToGrid w:val="false"/>
              <w:rPr>
                <w:b/>
                <w:sz w:val="22"/>
              </w:rPr>
            </w:pPr>
            <w:r>
              <w:rPr>
                <w:b/>
                <w:sz w:val="22"/>
              </w:rPr>
            </w:r>
          </w:p>
          <w:p>
            <w:pPr>
              <w:pStyle w:val="Normal"/>
              <w:rPr/>
            </w:pPr>
            <w:r>
              <w:rPr>
                <w:b/>
                <w:sz w:val="22"/>
              </w:rPr>
              <w:t>William Harrison, Jr.</w:t>
            </w:r>
            <w:r>
              <w:rPr>
                <w:sz w:val="22"/>
              </w:rPr>
              <w:t>, 56</w:t>
              <w:br/>
              <w:t>Chairman, CEO</w:t>
            </w:r>
          </w:p>
        </w:tc>
        <w:tc>
          <w:tcPr>
            <w:tcW w:w="3390" w:type="dxa"/>
            <w:tcBorders>
              <w:top w:val="single" w:sz="4" w:space="0" w:color="000000"/>
            </w:tcBorders>
            <w:vAlign w:val="center"/>
          </w:tcPr>
          <w:p>
            <w:pPr>
              <w:pStyle w:val="Normal"/>
              <w:jc w:val="end"/>
              <w:rPr>
                <w:sz w:val="22"/>
              </w:rPr>
            </w:pPr>
            <w:r>
              <w:rPr>
                <w:sz w:val="22"/>
              </w:rPr>
              <w:t>$8.6M</w:t>
            </w:r>
          </w:p>
        </w:tc>
        <w:tc>
          <w:tcPr>
            <w:tcW w:w="1170" w:type="dxa"/>
            <w:tcBorders>
              <w:top w:val="single" w:sz="4" w:space="0" w:color="000000"/>
            </w:tcBorders>
            <w:vAlign w:val="center"/>
          </w:tcPr>
          <w:p>
            <w:pPr>
              <w:pStyle w:val="Normal"/>
              <w:jc w:val="end"/>
              <w:rPr>
                <w:sz w:val="22"/>
              </w:rPr>
            </w:pPr>
            <w:r>
              <w:rPr>
                <w:sz w:val="22"/>
              </w:rPr>
              <w:t>$2.4M</w:t>
            </w:r>
          </w:p>
        </w:tc>
      </w:tr>
    </w:tbl>
    <w:p>
      <w:pPr>
        <w:pStyle w:val="Normal"/>
        <w:rPr>
          <w:sz w:val="22"/>
        </w:rPr>
      </w:pPr>
      <w:r>
        <w:rPr>
          <w:sz w:val="22"/>
        </w:rPr>
      </w:r>
    </w:p>
    <w:p>
      <w:pPr>
        <w:pStyle w:val="Normal"/>
        <w:tabs>
          <w:tab w:val="clear" w:pos="720"/>
          <w:tab w:val="left" w:pos="4410" w:leader="none"/>
        </w:tabs>
        <w:rPr>
          <w:sz w:val="22"/>
        </w:rPr>
      </w:pPr>
      <w:r>
        <w:rPr>
          <w:sz w:val="22"/>
        </w:rPr>
      </w:r>
    </w:p>
    <w:p>
      <w:pPr>
        <w:pStyle w:val="Heading2"/>
        <w:pBdr>
          <w:bottom w:val="single" w:sz="4" w:space="1" w:color="000000"/>
        </w:pBdr>
        <w:tabs>
          <w:tab w:val="clear" w:pos="720"/>
          <w:tab w:val="left" w:pos="4410" w:leader="none"/>
        </w:tabs>
        <w:ind w:hanging="0" w:start="0"/>
        <w:rPr/>
      </w:pPr>
      <w:r>
        <w:rPr/>
        <w:t>Share Data</w:t>
      </w:r>
    </w:p>
    <w:p>
      <w:pPr>
        <w:pStyle w:val="Normal"/>
        <w:tabs>
          <w:tab w:val="clear" w:pos="720"/>
          <w:tab w:val="left" w:pos="4410" w:leader="none"/>
        </w:tabs>
        <w:rPr/>
      </w:pPr>
      <w:r>
        <w:rPr/>
      </w:r>
    </w:p>
    <w:p>
      <w:pPr>
        <w:pStyle w:val="Heading2"/>
        <w:tabs>
          <w:tab w:val="clear" w:pos="720"/>
          <w:tab w:val="left" w:pos="4410" w:leader="none"/>
        </w:tabs>
        <w:ind w:hanging="0" w:start="0"/>
        <w:rPr>
          <w:sz w:val="20"/>
        </w:rPr>
      </w:pPr>
      <w:r>
        <w:rPr>
          <w:sz w:val="20"/>
        </w:rPr>
        <w:t>Price and Volume</w:t>
      </w:r>
    </w:p>
    <w:p>
      <w:pPr>
        <w:pStyle w:val="Normal"/>
        <w:tabs>
          <w:tab w:val="clear" w:pos="720"/>
          <w:tab w:val="left" w:pos="4410" w:leader="none"/>
        </w:tabs>
        <w:rPr/>
      </w:pPr>
      <w:r>
        <w:rPr/>
        <w:t xml:space="preserve">52-Week Low on 15-Oct-1999 </w:t>
        <w:tab/>
        <w:t>$</w:t>
      </w:r>
      <w:r>
        <w:rPr>
          <w:rStyle w:val="Typewriter"/>
          <w:rFonts w:cs="Times New Roman"/>
        </w:rPr>
        <w:t>43.875</w:t>
      </w:r>
      <w:r>
        <w:rPr/>
        <w:t xml:space="preserve"> </w:t>
      </w:r>
    </w:p>
    <w:p>
      <w:pPr>
        <w:pStyle w:val="Normal"/>
        <w:tabs>
          <w:tab w:val="clear" w:pos="720"/>
          <w:tab w:val="left" w:pos="4410" w:leader="none"/>
        </w:tabs>
        <w:rPr/>
      </w:pPr>
      <w:r>
        <w:rPr/>
        <w:t xml:space="preserve">Recent Price </w:t>
        <w:tab/>
        <w:t>$</w:t>
      </w:r>
      <w:r>
        <w:rPr>
          <w:rStyle w:val="Typewriter"/>
          <w:rFonts w:cs="Times New Roman"/>
        </w:rPr>
        <w:t xml:space="preserve">50.75 </w:t>
      </w:r>
    </w:p>
    <w:p>
      <w:pPr>
        <w:pStyle w:val="Normal"/>
        <w:tabs>
          <w:tab w:val="clear" w:pos="720"/>
          <w:tab w:val="left" w:pos="4410" w:leader="none"/>
        </w:tabs>
        <w:rPr/>
      </w:pPr>
      <w:r>
        <w:rPr/>
        <w:t xml:space="preserve">52-Week High on 24-Mar-2000 </w:t>
        <w:tab/>
        <w:t>$</w:t>
      </w:r>
      <w:r>
        <w:rPr>
          <w:rStyle w:val="Typewriter"/>
          <w:rFonts w:cs="Times New Roman"/>
        </w:rPr>
        <w:t>67.167</w:t>
      </w:r>
      <w:r>
        <w:rPr/>
        <w:t xml:space="preserve"> </w:t>
      </w:r>
    </w:p>
    <w:p>
      <w:pPr>
        <w:pStyle w:val="Normal"/>
        <w:tabs>
          <w:tab w:val="clear" w:pos="720"/>
          <w:tab w:val="left" w:pos="4410" w:leader="none"/>
        </w:tabs>
        <w:rPr/>
      </w:pPr>
      <w:r>
        <w:rPr/>
        <w:t xml:space="preserve">Beta </w:t>
        <w:tab/>
      </w:r>
      <w:r>
        <w:rPr>
          <w:rStyle w:val="Typewriter"/>
          <w:rFonts w:cs="Times New Roman"/>
        </w:rPr>
        <w:t xml:space="preserve">1.44 </w:t>
      </w:r>
    </w:p>
    <w:p>
      <w:pPr>
        <w:pStyle w:val="Normal"/>
        <w:tabs>
          <w:tab w:val="clear" w:pos="720"/>
          <w:tab w:val="left" w:pos="4410" w:leader="none"/>
        </w:tabs>
        <w:rPr/>
      </w:pPr>
      <w:r>
        <w:rPr/>
        <w:t xml:space="preserve">Daily Volume (3-month avg) </w:t>
        <w:tab/>
      </w:r>
      <w:r>
        <w:rPr>
          <w:rStyle w:val="Typewriter"/>
          <w:rFonts w:cs="Times New Roman"/>
        </w:rPr>
        <w:t>4.95M</w:t>
      </w:r>
      <w:r>
        <w:rPr/>
        <w:t xml:space="preserve"> </w:t>
      </w:r>
    </w:p>
    <w:p>
      <w:pPr>
        <w:pStyle w:val="Normal"/>
        <w:tabs>
          <w:tab w:val="clear" w:pos="720"/>
          <w:tab w:val="left" w:pos="4410" w:leader="none"/>
        </w:tabs>
        <w:rPr/>
      </w:pPr>
      <w:r>
        <w:rPr/>
        <w:t xml:space="preserve">Daily Volume (10-day avg) </w:t>
        <w:tab/>
      </w:r>
      <w:r>
        <w:rPr>
          <w:rStyle w:val="Typewriter"/>
          <w:rFonts w:cs="Times New Roman"/>
        </w:rPr>
        <w:t>5.19M</w:t>
      </w:r>
      <w:r>
        <w:rPr/>
        <w:br/>
        <w:t xml:space="preserve">52-Week Change </w:t>
        <w:tab/>
      </w:r>
      <w:r>
        <w:rPr>
          <w:rStyle w:val="Typewriter"/>
          <w:rFonts w:cs="Times New Roman"/>
        </w:rPr>
        <w:t>-9.1%</w:t>
      </w:r>
      <w:r>
        <w:rPr/>
        <w:t xml:space="preserve"> </w:t>
      </w:r>
    </w:p>
    <w:p>
      <w:pPr>
        <w:pStyle w:val="Normal"/>
        <w:tabs>
          <w:tab w:val="clear" w:pos="720"/>
          <w:tab w:val="left" w:pos="4410" w:leader="none"/>
        </w:tabs>
        <w:rPr/>
      </w:pPr>
      <w:r>
        <w:rPr/>
        <w:t xml:space="preserve">52-Week Change relative to S&amp;P500 </w:t>
        <w:tab/>
      </w:r>
      <w:r>
        <w:rPr>
          <w:rStyle w:val="Typewriter"/>
          <w:rFonts w:cs="Times New Roman"/>
        </w:rPr>
        <w:t>-18.5%</w:t>
      </w:r>
      <w:r>
        <w:rPr/>
        <w:t xml:space="preserve"> </w:t>
      </w:r>
    </w:p>
    <w:p>
      <w:pPr>
        <w:pStyle w:val="Normal"/>
        <w:tabs>
          <w:tab w:val="clear" w:pos="720"/>
          <w:tab w:val="left" w:pos="4410" w:leader="none"/>
        </w:tabs>
        <w:rPr/>
      </w:pPr>
      <w:r>
        <w:drawing>
          <wp:anchor behindDoc="0" distT="0" distB="0" distL="114935" distR="114935" simplePos="0" locked="0" layoutInCell="0" allowOverlap="1" relativeHeight="5">
            <wp:simplePos x="0" y="0"/>
            <wp:positionH relativeFrom="column">
              <wp:posOffset>0</wp:posOffset>
            </wp:positionH>
            <wp:positionV relativeFrom="paragraph">
              <wp:posOffset>413385</wp:posOffset>
            </wp:positionV>
            <wp:extent cx="1810385" cy="905510"/>
            <wp:effectExtent l="0" t="0" r="0" b="0"/>
            <wp:wrapTopAndBottom/>
            <wp:docPr id="3" name="cm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b" descr="" title=""/>
                    <pic:cNvPicPr>
                      <a:picLocks noChangeAspect="1" noChangeArrowheads="1"/>
                    </pic:cNvPicPr>
                  </pic:nvPicPr>
                  <pic:blipFill>
                    <a:blip r:link="rId8"/>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Market Capitalization </w:t>
        <w:tab/>
        <w:t>$</w:t>
      </w:r>
      <w:r>
        <w:rPr>
          <w:rStyle w:val="Typewriter"/>
          <w:rFonts w:cs="Times New Roman"/>
        </w:rPr>
        <w:t>63.1B</w:t>
      </w:r>
      <w:r>
        <w:br w:type="page"/>
      </w:r>
    </w:p>
    <w:p>
      <w:pPr>
        <w:pStyle w:val="Normal"/>
        <w:rPr/>
      </w:pPr>
      <w:r>
        <w:rPr>
          <w:rStyle w:val="Typewriter"/>
          <w:rFonts w:cs="Arial" w:ascii="Arial" w:hAnsi="Arial"/>
          <w:b/>
          <w:sz w:val="22"/>
        </w:rPr>
        <w:t>ATT</w:t>
      </w:r>
    </w:p>
    <w:p>
      <w:pPr>
        <w:pStyle w:val="Normal"/>
        <w:rPr>
          <w:rStyle w:val="Typewriter"/>
          <w:rFonts w:ascii="Times New Roman" w:hAnsi="Times New Roman" w:cs="Times New Roman"/>
          <w:b/>
        </w:rPr>
      </w:pPr>
      <w:r>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Normal"/>
        <w:jc w:val="both"/>
        <w:rPr>
          <w:sz w:val="22"/>
        </w:rPr>
      </w:pPr>
      <w:r>
        <w:rPr>
          <w:sz w:val="22"/>
        </w:rPr>
        <w:t xml:space="preserve">AT&amp;T Corporation provides voice, data and video communications services to large and small businesses, consumers and government entities. AT&amp;T and its subsidiaries furnish domestic and international long distance, regional, local and wireless communications services, cable television and Internet communications services. AT&amp;T also provides billing, directory and calling card services to support its communications business. AT&amp;T's primary lines of business are business services, consumer services, broadband services and wireless services. In addition, AT&amp;T's other lines of business include network management and professional services through AT&amp;T Solutions and international operations and ventures. In June 2000, AT&amp;T completed the acquisition of MediaOne Group. With the addition of MediaOne's 5 million cable subscribers, AT&amp;T becomes the country's largest cable operator, with about 16 million customers on the systems it owns and operates, which pass nearly 28 million American homes. </w:t>
        <w:br/>
      </w:r>
    </w:p>
    <w:p>
      <w:pPr>
        <w:pStyle w:val="Normal"/>
        <w:rPr/>
      </w:pPr>
      <w:r>
        <w:rPr>
          <w:rFonts w:cs="Arial" w:ascii="Arial" w:hAnsi="Arial"/>
          <w:b/>
          <w:sz w:val="22"/>
        </w:rPr>
        <w:t>Financial Summary</w:t>
      </w:r>
      <w:r>
        <w:rPr>
          <w:sz w:val="22"/>
        </w:rPr>
        <w:t xml:space="preserve"> </w:t>
      </w:r>
    </w:p>
    <w:p>
      <w:pPr>
        <w:pStyle w:val="Normal"/>
        <w:rPr>
          <w:sz w:val="22"/>
        </w:rPr>
      </w:pPr>
      <w:r>
        <w:rPr>
          <w:sz w:val="22"/>
        </w:rPr>
      </w:r>
    </w:p>
    <w:p>
      <w:pPr>
        <w:pStyle w:val="Normal"/>
        <w:jc w:val="both"/>
        <w:rPr>
          <w:sz w:val="22"/>
        </w:rPr>
      </w:pPr>
      <w:r>
        <w:rPr>
          <w:sz w:val="22"/>
        </w:rPr>
        <w:t xml:space="preserve">AT&amp;T provides voice, data and video telecommunications services, including cellular telephone and internet services, to businesses, consumers and government agencies. T also provides cable TV services to approx. 11 million customers throughout the U.S. For the six months ended 6/00, revenues rose 8% to $32.12 billion. Net income totalled $4.72 billion, up from $2.06 billion. Results reflect acquisitions, lower connection expenses, and $1.21 billion in LMG earnings vs. a loss in 1999. </w:t>
      </w:r>
    </w:p>
    <w:p>
      <w:pPr>
        <w:pStyle w:val="Normal"/>
        <w:rPr>
          <w:sz w:val="22"/>
        </w:rPr>
      </w:pPr>
      <w:r>
        <w:rPr>
          <w:sz w:val="22"/>
        </w:rPr>
      </w:r>
    </w:p>
    <w:p>
      <w:pPr>
        <w:pStyle w:val="Normal"/>
        <w:rPr>
          <w:sz w:val="22"/>
        </w:rPr>
      </w:pPr>
      <w:r>
        <w:rPr>
          <w:sz w:val="22"/>
        </w:rPr>
      </w:r>
    </w:p>
    <w:tbl>
      <w:tblPr>
        <w:tblW w:w="9360" w:type="dxa"/>
        <w:jc w:val="start"/>
        <w:tblInd w:w="30" w:type="dxa"/>
        <w:tblLayout w:type="fixed"/>
        <w:tblCellMar>
          <w:top w:w="0" w:type="dxa"/>
          <w:start w:w="30" w:type="dxa"/>
          <w:bottom w:w="0" w:type="dxa"/>
          <w:end w:w="30" w:type="dxa"/>
        </w:tblCellMar>
      </w:tblPr>
      <w:tblGrid>
        <w:gridCol w:w="4050"/>
        <w:gridCol w:w="3960"/>
        <w:gridCol w:w="1350"/>
      </w:tblGrid>
      <w:tr>
        <w:trPr/>
        <w:tc>
          <w:tcPr>
            <w:tcW w:w="4050" w:type="dxa"/>
            <w:tcBorders/>
            <w:vAlign w:val="center"/>
          </w:tcPr>
          <w:p>
            <w:pPr>
              <w:pStyle w:val="Normal"/>
              <w:snapToGrid w:val="false"/>
              <w:rPr>
                <w:sz w:val="18"/>
              </w:rPr>
            </w:pPr>
            <w:r>
              <w:rPr>
                <w:sz w:val="18"/>
              </w:rPr>
            </w:r>
          </w:p>
        </w:tc>
        <w:tc>
          <w:tcPr>
            <w:tcW w:w="5310" w:type="dxa"/>
            <w:gridSpan w:val="2"/>
            <w:tcBorders/>
            <w:vAlign w:val="center"/>
          </w:tcPr>
          <w:p>
            <w:pPr>
              <w:pStyle w:val="Normal"/>
              <w:jc w:val="end"/>
              <w:rPr>
                <w:sz w:val="18"/>
              </w:rPr>
            </w:pPr>
            <w:r>
              <w:rPr>
                <w:rFonts w:cs="Arial" w:ascii="Arial" w:hAnsi="Arial"/>
                <w:b/>
                <w:sz w:val="18"/>
              </w:rPr>
              <w:t>FY1999 Compensation</w:t>
            </w:r>
          </w:p>
        </w:tc>
        <w:tc>
          <w:tcPr>
            <w:tcW w:w="0" w:type="dxa"/>
            <w:vMerge w:val="continue"/>
            <w:tcBorders/>
            <w:vAlign w:val="center"/>
          </w:tcPr>
          <w:p>
            <w:pPr>
              <w:pStyle w:val="Normal"/>
              <w:snapToGrid w:val="false"/>
              <w:rPr>
                <w:sz w:val="18"/>
              </w:rPr>
            </w:pPr>
            <w:r>
              <w:rPr>
                <w:sz w:val="18"/>
              </w:rPr>
            </w:r>
          </w:p>
        </w:tc>
      </w:tr>
      <w:tr>
        <w:trPr/>
        <w:tc>
          <w:tcPr>
            <w:tcW w:w="4050" w:type="dxa"/>
            <w:tcBorders/>
            <w:vAlign w:val="center"/>
          </w:tcPr>
          <w:p>
            <w:pPr>
              <w:pStyle w:val="Normal"/>
              <w:snapToGrid w:val="false"/>
              <w:rPr>
                <w:sz w:val="18"/>
              </w:rPr>
            </w:pPr>
            <w:r>
              <w:rPr>
                <w:sz w:val="18"/>
              </w:rPr>
            </w:r>
          </w:p>
        </w:tc>
        <w:tc>
          <w:tcPr>
            <w:tcW w:w="3960" w:type="dxa"/>
            <w:tcBorders/>
            <w:vAlign w:val="center"/>
          </w:tcPr>
          <w:p>
            <w:pPr>
              <w:pStyle w:val="Heading4"/>
              <w:ind w:hanging="0" w:start="0"/>
              <w:rPr>
                <w:sz w:val="18"/>
              </w:rPr>
            </w:pPr>
            <w:r>
              <w:rPr>
                <w:sz w:val="18"/>
              </w:rPr>
              <w:t>Pay</w:t>
            </w:r>
          </w:p>
        </w:tc>
        <w:tc>
          <w:tcPr>
            <w:tcW w:w="1350" w:type="dxa"/>
            <w:tcBorders/>
            <w:vAlign w:val="center"/>
          </w:tcPr>
          <w:p>
            <w:pPr>
              <w:pStyle w:val="Normal"/>
              <w:jc w:val="end"/>
              <w:rPr>
                <w:sz w:val="18"/>
              </w:rPr>
            </w:pPr>
            <w:r>
              <w:rPr>
                <w:rFonts w:cs="Arial" w:ascii="Arial" w:hAnsi="Arial"/>
                <w:b/>
                <w:sz w:val="18"/>
              </w:rPr>
              <w:t>Exer</w:t>
            </w:r>
          </w:p>
        </w:tc>
      </w:tr>
      <w:tr>
        <w:trPr/>
        <w:tc>
          <w:tcPr>
            <w:tcW w:w="4050" w:type="dxa"/>
            <w:tcBorders/>
            <w:vAlign w:val="center"/>
          </w:tcPr>
          <w:p>
            <w:pPr>
              <w:pStyle w:val="Heading2"/>
              <w:ind w:hanging="0" w:start="0"/>
              <w:rPr/>
            </w:pPr>
            <w:r>
              <w:rPr/>
              <w:t>Executive Attending the Meeting</w:t>
            </w:r>
          </w:p>
        </w:tc>
        <w:tc>
          <w:tcPr>
            <w:tcW w:w="5310" w:type="dxa"/>
            <w:gridSpan w:val="2"/>
            <w:tcBorders/>
            <w:vAlign w:val="center"/>
          </w:tcPr>
          <w:p>
            <w:pPr>
              <w:pStyle w:val="Normal"/>
              <w:snapToGrid w:val="false"/>
              <w:rPr/>
            </w:pPr>
            <w:r>
              <w:rPr/>
            </w:r>
          </w:p>
        </w:tc>
        <w:tc>
          <w:tcPr>
            <w:tcW w:w="0" w:type="dxa"/>
            <w:vMerge w:val="continue"/>
            <w:tcBorders/>
            <w:vAlign w:val="center"/>
          </w:tcPr>
          <w:p>
            <w:pPr>
              <w:pStyle w:val="Normal"/>
              <w:snapToGrid w:val="false"/>
              <w:rPr/>
            </w:pPr>
            <w:r>
              <w:rPr/>
            </w:r>
          </w:p>
        </w:tc>
      </w:tr>
      <w:tr>
        <w:trPr/>
        <w:tc>
          <w:tcPr>
            <w:tcW w:w="4050" w:type="dxa"/>
            <w:tcBorders>
              <w:top w:val="single" w:sz="4" w:space="0" w:color="000000"/>
            </w:tcBorders>
            <w:vAlign w:val="center"/>
          </w:tcPr>
          <w:p>
            <w:pPr>
              <w:pStyle w:val="Normal"/>
              <w:rPr/>
            </w:pPr>
            <w:r>
              <w:rPr>
                <w:b/>
              </w:rPr>
              <w:t>C. Armstrong</w:t>
            </w:r>
            <w:r>
              <w:rPr/>
              <w:t>, 61</w:t>
              <w:br/>
              <w:t>Chairman and CEO</w:t>
            </w:r>
          </w:p>
        </w:tc>
        <w:tc>
          <w:tcPr>
            <w:tcW w:w="3960" w:type="dxa"/>
            <w:tcBorders>
              <w:top w:val="single" w:sz="4" w:space="0" w:color="000000"/>
            </w:tcBorders>
            <w:vAlign w:val="center"/>
          </w:tcPr>
          <w:p>
            <w:pPr>
              <w:pStyle w:val="Normal"/>
              <w:jc w:val="end"/>
              <w:rPr/>
            </w:pPr>
            <w:r>
              <w:rPr/>
              <w:t>$4.6M</w:t>
            </w:r>
          </w:p>
        </w:tc>
        <w:tc>
          <w:tcPr>
            <w:tcW w:w="1350" w:type="dxa"/>
            <w:tcBorders>
              <w:top w:val="single" w:sz="4" w:space="0" w:color="000000"/>
            </w:tcBorders>
            <w:vAlign w:val="center"/>
          </w:tcPr>
          <w:p>
            <w:pPr>
              <w:pStyle w:val="Normal"/>
              <w:jc w:val="end"/>
              <w:rPr/>
            </w:pPr>
            <w:r>
              <w:rPr/>
              <w:t>$2.5M</w:t>
            </w:r>
          </w:p>
        </w:tc>
      </w:tr>
    </w:tbl>
    <w:p>
      <w:pPr>
        <w:pStyle w:val="Normal"/>
        <w:rPr/>
      </w:pPr>
      <w:r>
        <w:rPr/>
      </w:r>
    </w:p>
    <w:p>
      <w:pPr>
        <w:pStyle w:val="Normal"/>
        <w:tabs>
          <w:tab w:val="clear" w:pos="720"/>
          <w:tab w:val="left" w:pos="4410" w:leader="none"/>
        </w:tabs>
        <w:rPr/>
      </w:pPr>
      <w:r>
        <w:rPr/>
      </w:r>
    </w:p>
    <w:p>
      <w:pPr>
        <w:pStyle w:val="Normal"/>
        <w:rPr>
          <w:rFonts w:ascii="Arial" w:hAnsi="Arial" w:cs="Arial"/>
          <w:b/>
        </w:rPr>
      </w:pPr>
      <w:r>
        <w:rPr>
          <w:rFonts w:cs="Arial" w:ascii="Arial" w:hAnsi="Arial"/>
          <w:b/>
        </w:rPr>
      </w:r>
    </w:p>
    <w:p>
      <w:pPr>
        <w:pStyle w:val="Normal"/>
        <w:rPr>
          <w:rFonts w:ascii="Arial" w:hAnsi="Arial" w:cs="Arial"/>
          <w:b/>
          <w:sz w:val="22"/>
        </w:rPr>
      </w:pPr>
      <w:r>
        <w:rPr>
          <w:rFonts w:cs="Arial" w:ascii="Arial" w:hAnsi="Arial"/>
          <w:b/>
          <w:sz w:val="22"/>
        </w:rPr>
        <w:t>Share Data</w:t>
      </w:r>
    </w:p>
    <w:p>
      <w:pPr>
        <w:pStyle w:val="Normal"/>
        <w:pBdr>
          <w:top w:val="single" w:sz="4" w:space="1" w:color="000000"/>
        </w:pBdr>
        <w:rPr>
          <w:rFonts w:ascii="Arial" w:hAnsi="Arial" w:cs="Arial"/>
          <w:b/>
          <w:sz w:val="22"/>
        </w:rPr>
      </w:pPr>
      <w:r>
        <w:rPr>
          <w:rFonts w:cs="Arial" w:ascii="Arial" w:hAnsi="Arial"/>
          <w:b/>
          <w:sz w:val="22"/>
        </w:rPr>
      </w:r>
    </w:p>
    <w:p>
      <w:pPr>
        <w:pStyle w:val="Normal"/>
        <w:pBdr>
          <w:top w:val="single" w:sz="4" w:space="1" w:color="000000"/>
        </w:pBdr>
        <w:rPr/>
      </w:pPr>
      <w:r>
        <w:rPr>
          <w:rFonts w:cs="Arial" w:ascii="Arial" w:hAnsi="Arial"/>
          <w:b/>
        </w:rPr>
        <w:t>Price and Volume</w:t>
      </w:r>
      <w:r>
        <w:rPr/>
        <w:t xml:space="preserve"> </w:t>
      </w:r>
    </w:p>
    <w:p>
      <w:pPr>
        <w:pStyle w:val="Normal"/>
        <w:tabs>
          <w:tab w:val="clear" w:pos="720"/>
          <w:tab w:val="left" w:pos="4410" w:leader="none"/>
        </w:tabs>
        <w:rPr/>
      </w:pPr>
      <w:r>
        <w:rPr/>
        <w:t xml:space="preserve">52-Week Low on 9-Aug-2000 </w:t>
        <w:tab/>
        <w:t>$</w:t>
      </w:r>
      <w:r>
        <w:rPr>
          <w:rStyle w:val="Typewriter"/>
          <w:rFonts w:cs="Times New Roman"/>
        </w:rPr>
        <w:t>29.625</w:t>
      </w:r>
      <w:r>
        <w:rPr/>
        <w:t xml:space="preserve"> </w:t>
      </w:r>
    </w:p>
    <w:p>
      <w:pPr>
        <w:pStyle w:val="Normal"/>
        <w:tabs>
          <w:tab w:val="clear" w:pos="720"/>
          <w:tab w:val="left" w:pos="4410" w:leader="none"/>
        </w:tabs>
        <w:rPr/>
      </w:pPr>
      <w:r>
        <w:rPr/>
        <w:t xml:space="preserve">Recent Price </w:t>
        <w:tab/>
        <w:t>$</w:t>
      </w:r>
      <w:r>
        <w:rPr>
          <w:rStyle w:val="Typewriter"/>
          <w:rFonts w:cs="Times New Roman"/>
        </w:rPr>
        <w:t>32.375</w:t>
      </w:r>
      <w:r>
        <w:rPr/>
        <w:t xml:space="preserve"> </w:t>
      </w:r>
    </w:p>
    <w:p>
      <w:pPr>
        <w:pStyle w:val="Normal"/>
        <w:tabs>
          <w:tab w:val="clear" w:pos="720"/>
          <w:tab w:val="left" w:pos="4410" w:leader="none"/>
        </w:tabs>
        <w:rPr/>
      </w:pPr>
      <w:r>
        <w:rPr/>
        <w:t xml:space="preserve">52-Week High on 29-Mar-2000 </w:t>
        <w:tab/>
        <w:t>$</w:t>
      </w:r>
      <w:r>
        <w:rPr>
          <w:rStyle w:val="Typewriter"/>
          <w:rFonts w:cs="Times New Roman"/>
        </w:rPr>
        <w:t xml:space="preserve">61.00 </w:t>
      </w:r>
    </w:p>
    <w:p>
      <w:pPr>
        <w:pStyle w:val="Normal"/>
        <w:tabs>
          <w:tab w:val="clear" w:pos="720"/>
          <w:tab w:val="left" w:pos="4410" w:leader="none"/>
        </w:tabs>
        <w:rPr/>
      </w:pPr>
      <w:r>
        <w:rPr/>
        <w:t xml:space="preserve">Beta </w:t>
        <w:tab/>
      </w:r>
      <w:r>
        <w:rPr>
          <w:rStyle w:val="Typewriter"/>
          <w:rFonts w:cs="Times New Roman"/>
        </w:rPr>
        <w:t xml:space="preserve">0.97 </w:t>
      </w:r>
    </w:p>
    <w:p>
      <w:pPr>
        <w:pStyle w:val="Normal"/>
        <w:tabs>
          <w:tab w:val="clear" w:pos="720"/>
          <w:tab w:val="left" w:pos="4410" w:leader="none"/>
        </w:tabs>
        <w:rPr/>
      </w:pPr>
      <w:r>
        <w:rPr/>
        <w:t xml:space="preserve">Daily Volume (3-month avg) </w:t>
        <w:tab/>
      </w:r>
      <w:r>
        <w:rPr>
          <w:rStyle w:val="Typewriter"/>
          <w:rFonts w:cs="Times New Roman"/>
        </w:rPr>
        <w:t>18.2M</w:t>
      </w:r>
      <w:r>
        <w:rPr/>
        <w:t xml:space="preserve"> </w:t>
      </w:r>
    </w:p>
    <w:p>
      <w:pPr>
        <w:pStyle w:val="Normal"/>
        <w:tabs>
          <w:tab w:val="clear" w:pos="720"/>
          <w:tab w:val="left" w:pos="4410" w:leader="none"/>
        </w:tabs>
        <w:rPr/>
      </w:pPr>
      <w:r>
        <w:rPr/>
        <w:t xml:space="preserve">Daily Volume (10-day avg) </w:t>
        <w:tab/>
      </w:r>
      <w:r>
        <w:rPr>
          <w:rStyle w:val="Typewriter"/>
          <w:rFonts w:cs="Times New Roman"/>
        </w:rPr>
        <w:t>19.0M</w:t>
      </w:r>
      <w:r>
        <w:rPr/>
        <w:t xml:space="preserve"> </w:t>
      </w:r>
    </w:p>
    <w:p>
      <w:pPr>
        <w:pStyle w:val="Normal"/>
        <w:tabs>
          <w:tab w:val="clear" w:pos="720"/>
          <w:tab w:val="left" w:pos="4410" w:leader="none"/>
        </w:tabs>
        <w:rPr/>
      </w:pPr>
      <w:r>
        <w:rPr/>
        <w:t xml:space="preserve">52-Week Change </w:t>
        <w:tab/>
      </w:r>
      <w:r>
        <w:rPr>
          <w:rStyle w:val="Typewriter"/>
          <w:rFonts w:cs="Times New Roman"/>
        </w:rPr>
        <w:t>-30.9%</w:t>
      </w:r>
      <w:r>
        <w:rPr/>
        <w:t xml:space="preserve"> </w:t>
      </w:r>
    </w:p>
    <w:p>
      <w:pPr>
        <w:pStyle w:val="Normal"/>
        <w:tabs>
          <w:tab w:val="clear" w:pos="720"/>
          <w:tab w:val="left" w:pos="4410" w:leader="none"/>
        </w:tabs>
        <w:rPr/>
      </w:pPr>
      <w:r>
        <w:drawing>
          <wp:anchor behindDoc="0" distT="0" distB="0" distL="114935" distR="114935" simplePos="0" locked="0" layoutInCell="0" allowOverlap="1" relativeHeight="6">
            <wp:simplePos x="0" y="0"/>
            <wp:positionH relativeFrom="column">
              <wp:posOffset>0</wp:posOffset>
            </wp:positionH>
            <wp:positionV relativeFrom="paragraph">
              <wp:posOffset>653415</wp:posOffset>
            </wp:positionV>
            <wp:extent cx="1810385" cy="905510"/>
            <wp:effectExtent l="0" t="0" r="0" b="0"/>
            <wp:wrapTopAndBottom/>
            <wp:docPr id="4" name="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 descr="" title=""/>
                    <pic:cNvPicPr>
                      <a:picLocks noChangeAspect="1" noChangeArrowheads="1"/>
                    </pic:cNvPicPr>
                  </pic:nvPicPr>
                  <pic:blipFill>
                    <a:blip r:link="rId9"/>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52-Week Change relative to S&amp;P500 </w:t>
        <w:tab/>
      </w:r>
      <w:r>
        <w:rPr>
          <w:rStyle w:val="Typewriter"/>
          <w:rFonts w:cs="Times New Roman"/>
        </w:rPr>
        <w:t>-38.1%</w:t>
      </w:r>
      <w:r>
        <w:rPr/>
        <w:t xml:space="preserve"> </w:t>
      </w:r>
    </w:p>
    <w:p>
      <w:pPr>
        <w:pStyle w:val="Normal"/>
        <w:tabs>
          <w:tab w:val="clear" w:pos="720"/>
          <w:tab w:val="left" w:pos="4410" w:leader="none"/>
        </w:tabs>
        <w:rPr/>
      </w:pPr>
      <w:r>
        <w:rPr/>
        <w:t xml:space="preserve">Market Capitalization </w:t>
        <w:tab/>
        <w:t>$</w:t>
      </w:r>
      <w:r>
        <w:rPr>
          <w:rStyle w:val="Typewriter"/>
          <w:rFonts w:cs="Times New Roman"/>
        </w:rPr>
        <w:t>121.6B</w:t>
      </w:r>
    </w:p>
    <w:p>
      <w:pPr>
        <w:pStyle w:val="Normal"/>
        <w:tabs>
          <w:tab w:val="clear" w:pos="720"/>
          <w:tab w:val="left" w:pos="4410" w:leader="none"/>
          <w:tab w:val="left" w:pos="4500" w:leader="none"/>
        </w:tabs>
        <w:rPr>
          <w:rStyle w:val="Typewriter"/>
          <w:rFonts w:ascii="Times New Roman" w:hAnsi="Times New Roman" w:cs="Times New Roman"/>
        </w:rPr>
      </w:pPr>
      <w:r>
        <w:rPr/>
      </w:r>
    </w:p>
    <w:p>
      <w:pPr>
        <w:pStyle w:val="Normal"/>
        <w:tabs>
          <w:tab w:val="clear" w:pos="720"/>
          <w:tab w:val="left" w:pos="4410" w:leader="none"/>
          <w:tab w:val="left" w:pos="4500" w:leader="none"/>
        </w:tabs>
        <w:rPr/>
      </w:pPr>
      <w:r>
        <w:rPr/>
        <w:t xml:space="preserve"> </w:t>
      </w:r>
      <w:r>
        <w:br w:type="page"/>
      </w:r>
    </w:p>
    <w:p>
      <w:pPr>
        <w:pStyle w:val="Normal"/>
        <w:rPr>
          <w:rFonts w:ascii="Arial" w:hAnsi="Arial" w:cs="Arial"/>
          <w:b/>
          <w:sz w:val="22"/>
        </w:rPr>
      </w:pPr>
      <w:r>
        <w:rPr>
          <w:rFonts w:cs="Arial" w:ascii="Arial" w:hAnsi="Arial"/>
          <w:b/>
          <w:sz w:val="22"/>
        </w:rPr>
        <w:t>US Airways</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BodyText2"/>
        <w:rPr/>
      </w:pPr>
      <w:r>
        <w:rPr/>
        <w:t>US Airways Group, Inc. owns the common stock of US Airways, Inc., Shuttle, Inc., Allegheny Airlines, Inc., Piedmont Airlines, Inc., PSA Airlines, Inc., US Airways Leasing and Sales, Inc., Material Services Company, Inc., USLM Corporation and Airways Assurance Limited, LLC. US Airways owns all of the common stock of US Airways Investment Management Company, Inc. US Airways is the Company's principal operating subsidiary. US Airways is a certificated air carrier engaged primarily in the business of transporting passengers, property and mail. As of December 31, 1999, US Airways operated 383 jet aircraft and provided regularly scheduled service at 107 airports in the continental United States, Canada, Mexico, France, Germany, Italy, Spain, the United Kingdom and the Caribbean.</w:t>
      </w:r>
    </w:p>
    <w:p>
      <w:pPr>
        <w:pStyle w:val="Normal"/>
        <w:rPr/>
      </w:pPr>
      <w:r>
        <w:rPr>
          <w:sz w:val="22"/>
        </w:rPr>
        <w:br/>
      </w:r>
      <w:r>
        <w:rPr>
          <w:rFonts w:cs="Arial" w:ascii="Arial" w:hAnsi="Arial"/>
          <w:b/>
          <w:sz w:val="22"/>
        </w:rPr>
        <w:t>Financial Summary</w:t>
      </w:r>
      <w:r>
        <w:rPr>
          <w:sz w:val="22"/>
        </w:rPr>
        <w:t xml:space="preserve"> </w:t>
      </w:r>
    </w:p>
    <w:p>
      <w:pPr>
        <w:pStyle w:val="Normal"/>
        <w:rPr>
          <w:sz w:val="22"/>
        </w:rPr>
      </w:pPr>
      <w:r>
        <w:rPr>
          <w:sz w:val="22"/>
        </w:rPr>
      </w:r>
    </w:p>
    <w:p>
      <w:pPr>
        <w:pStyle w:val="BodyText2"/>
        <w:rPr/>
      </w:pPr>
      <w:r>
        <w:rPr/>
        <w:t>US Airways is an air carrier engaged in transporting passengers, property and mail. U also owns US Airways, Shuttle Inc., Alleghany, Piedmont, and PSA, Fuel Corp., US Airways Leasing and Sales, MSC and AAL. For the six months ended 6/30/00, revenues rose 4% to $4.53 billion. Net loss before accounting change totaled $35 million vs. an income of $363 million. Results reflect increased revenue passenger miles, offset by increased personnel, flight hours, and fuel prices.</w:t>
      </w:r>
    </w:p>
    <w:p>
      <w:pPr>
        <w:pStyle w:val="Normal"/>
        <w:rPr>
          <w:sz w:val="22"/>
        </w:rPr>
      </w:pPr>
      <w:r>
        <w:rPr>
          <w:sz w:val="22"/>
        </w:rPr>
      </w:r>
    </w:p>
    <w:p>
      <w:pPr>
        <w:pStyle w:val="Normal"/>
        <w:rPr>
          <w:sz w:val="22"/>
        </w:rPr>
      </w:pPr>
      <w:r>
        <w:rPr>
          <w:sz w:val="22"/>
        </w:rPr>
      </w:r>
    </w:p>
    <w:tbl>
      <w:tblPr>
        <w:tblW w:w="9360" w:type="dxa"/>
        <w:jc w:val="start"/>
        <w:tblInd w:w="30" w:type="dxa"/>
        <w:tblLayout w:type="fixed"/>
        <w:tblCellMar>
          <w:top w:w="0" w:type="dxa"/>
          <w:start w:w="30" w:type="dxa"/>
          <w:bottom w:w="0" w:type="dxa"/>
          <w:end w:w="30" w:type="dxa"/>
        </w:tblCellMar>
      </w:tblPr>
      <w:tblGrid>
        <w:gridCol w:w="3870"/>
        <w:gridCol w:w="5490"/>
      </w:tblGrid>
      <w:tr>
        <w:trPr/>
        <w:tc>
          <w:tcPr>
            <w:tcW w:w="3870" w:type="dxa"/>
            <w:tcBorders/>
            <w:vAlign w:val="center"/>
          </w:tcPr>
          <w:p>
            <w:pPr>
              <w:pStyle w:val="Normal"/>
              <w:rPr>
                <w:rFonts w:ascii="Arial" w:hAnsi="Arial" w:cs="Arial"/>
                <w:b/>
                <w:sz w:val="22"/>
              </w:rPr>
            </w:pPr>
            <w:r>
              <w:rPr>
                <w:rFonts w:cs="Arial" w:ascii="Arial" w:hAnsi="Arial"/>
                <w:b/>
                <w:sz w:val="22"/>
              </w:rPr>
              <w:t>Executive Attending the Meeting</w:t>
            </w:r>
          </w:p>
        </w:tc>
        <w:tc>
          <w:tcPr>
            <w:tcW w:w="5490" w:type="dxa"/>
            <w:tcBorders/>
            <w:vAlign w:val="center"/>
          </w:tcPr>
          <w:p>
            <w:pPr>
              <w:pStyle w:val="Heading1"/>
              <w:ind w:hanging="0" w:start="0"/>
              <w:rPr/>
            </w:pPr>
            <w:r>
              <w:rPr/>
              <w:t>FY1999 Pay</w:t>
            </w:r>
          </w:p>
        </w:tc>
      </w:tr>
      <w:tr>
        <w:trPr/>
        <w:tc>
          <w:tcPr>
            <w:tcW w:w="3870" w:type="dxa"/>
            <w:tcBorders>
              <w:top w:val="single" w:sz="4" w:space="0" w:color="000000"/>
            </w:tcBorders>
            <w:vAlign w:val="center"/>
          </w:tcPr>
          <w:p>
            <w:pPr>
              <w:pStyle w:val="Normal"/>
              <w:snapToGrid w:val="false"/>
              <w:rPr>
                <w:b/>
                <w:sz w:val="22"/>
              </w:rPr>
            </w:pPr>
            <w:r>
              <w:rPr>
                <w:b/>
                <w:sz w:val="22"/>
              </w:rPr>
            </w:r>
          </w:p>
          <w:p>
            <w:pPr>
              <w:pStyle w:val="Normal"/>
              <w:rPr/>
            </w:pPr>
            <w:r>
              <w:rPr>
                <w:b/>
                <w:sz w:val="22"/>
              </w:rPr>
              <w:t>Stephen Wolf</w:t>
            </w:r>
            <w:r>
              <w:rPr>
                <w:sz w:val="22"/>
              </w:rPr>
              <w:t>, 58</w:t>
              <w:br/>
              <w:t>Chairman</w:t>
            </w:r>
          </w:p>
        </w:tc>
        <w:tc>
          <w:tcPr>
            <w:tcW w:w="5490" w:type="dxa"/>
            <w:tcBorders>
              <w:top w:val="single" w:sz="4" w:space="0" w:color="000000"/>
            </w:tcBorders>
            <w:vAlign w:val="center"/>
          </w:tcPr>
          <w:p>
            <w:pPr>
              <w:pStyle w:val="Normal"/>
              <w:jc w:val="end"/>
              <w:rPr>
                <w:sz w:val="22"/>
              </w:rPr>
            </w:pPr>
            <w:r>
              <w:rPr>
                <w:sz w:val="22"/>
              </w:rPr>
              <w:t>$5.7M</w:t>
            </w:r>
          </w:p>
        </w:tc>
      </w:tr>
    </w:tbl>
    <w:p>
      <w:pPr>
        <w:pStyle w:val="Normal"/>
        <w:rPr>
          <w:sz w:val="22"/>
        </w:rPr>
      </w:pPr>
      <w:r>
        <w:rPr>
          <w:sz w:val="22"/>
        </w:rPr>
      </w:r>
    </w:p>
    <w:p>
      <w:pPr>
        <w:pStyle w:val="Normal"/>
        <w:rPr>
          <w:sz w:val="22"/>
        </w:rPr>
      </w:pPr>
      <w:r>
        <w:rPr>
          <w:sz w:val="22"/>
        </w:rPr>
      </w:r>
    </w:p>
    <w:p>
      <w:pPr>
        <w:pStyle w:val="Heading2"/>
        <w:ind w:hanging="0" w:start="0"/>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rPr>
          <w:rFonts w:cs="Arial" w:ascii="Arial" w:hAnsi="Arial"/>
          <w:b/>
        </w:rPr>
        <w:t>Price and Volume</w:t>
      </w:r>
      <w:r>
        <w:rPr/>
        <w:t xml:space="preserve"> </w:t>
      </w:r>
    </w:p>
    <w:p>
      <w:pPr>
        <w:pStyle w:val="Normal"/>
        <w:tabs>
          <w:tab w:val="clear" w:pos="720"/>
          <w:tab w:val="left" w:pos="4410" w:leader="none"/>
        </w:tabs>
        <w:rPr/>
      </w:pPr>
      <w:r>
        <w:rPr/>
        <w:t xml:space="preserve">52-Week Low on 7-Mar-2000 </w:t>
        <w:tab/>
        <w:t>$</w:t>
      </w:r>
      <w:r>
        <w:rPr>
          <w:rStyle w:val="Typewriter"/>
          <w:rFonts w:cs="Times New Roman"/>
        </w:rPr>
        <w:t>17.438</w:t>
      </w:r>
      <w:r>
        <w:rPr/>
        <w:t xml:space="preserve"> </w:t>
      </w:r>
    </w:p>
    <w:p>
      <w:pPr>
        <w:pStyle w:val="Normal"/>
        <w:tabs>
          <w:tab w:val="clear" w:pos="720"/>
          <w:tab w:val="left" w:pos="4410" w:leader="none"/>
        </w:tabs>
        <w:rPr/>
      </w:pPr>
      <w:r>
        <w:rPr/>
        <w:t xml:space="preserve">Recent Price </w:t>
        <w:tab/>
        <w:t>$</w:t>
      </w:r>
      <w:r>
        <w:rPr>
          <w:rStyle w:val="Typewriter"/>
          <w:rFonts w:cs="Times New Roman"/>
        </w:rPr>
        <w:t xml:space="preserve">36.25 </w:t>
      </w:r>
    </w:p>
    <w:p>
      <w:pPr>
        <w:pStyle w:val="Normal"/>
        <w:tabs>
          <w:tab w:val="clear" w:pos="720"/>
          <w:tab w:val="left" w:pos="4410" w:leader="none"/>
        </w:tabs>
        <w:rPr/>
      </w:pPr>
      <w:r>
        <w:rPr/>
        <w:t xml:space="preserve">52-Week High on 24-May-2000 </w:t>
        <w:tab/>
        <w:t>$</w:t>
      </w:r>
      <w:r>
        <w:rPr>
          <w:rStyle w:val="Typewriter"/>
          <w:rFonts w:cs="Times New Roman"/>
        </w:rPr>
        <w:t xml:space="preserve">51.50 </w:t>
      </w:r>
    </w:p>
    <w:p>
      <w:pPr>
        <w:pStyle w:val="Normal"/>
        <w:tabs>
          <w:tab w:val="clear" w:pos="720"/>
          <w:tab w:val="left" w:pos="4410" w:leader="none"/>
        </w:tabs>
        <w:rPr/>
      </w:pPr>
      <w:r>
        <w:rPr/>
        <w:t xml:space="preserve">Beta </w:t>
        <w:tab/>
      </w:r>
      <w:r>
        <w:rPr>
          <w:rStyle w:val="Typewriter"/>
          <w:rFonts w:cs="Times New Roman"/>
        </w:rPr>
        <w:t xml:space="preserve">1.50 </w:t>
      </w:r>
    </w:p>
    <w:p>
      <w:pPr>
        <w:pStyle w:val="Normal"/>
        <w:tabs>
          <w:tab w:val="clear" w:pos="720"/>
          <w:tab w:val="left" w:pos="4410" w:leader="none"/>
        </w:tabs>
        <w:rPr/>
      </w:pPr>
      <w:r>
        <w:rPr/>
        <w:t xml:space="preserve">Daily Volume (3-month avg) </w:t>
        <w:tab/>
      </w:r>
      <w:r>
        <w:rPr>
          <w:rStyle w:val="Typewriter"/>
          <w:rFonts w:cs="Times New Roman"/>
        </w:rPr>
        <w:t>360.4K</w:t>
      </w:r>
      <w:r>
        <w:rPr/>
        <w:t xml:space="preserve"> </w:t>
      </w:r>
    </w:p>
    <w:p>
      <w:pPr>
        <w:pStyle w:val="Normal"/>
        <w:tabs>
          <w:tab w:val="clear" w:pos="720"/>
          <w:tab w:val="left" w:pos="4410" w:leader="none"/>
        </w:tabs>
        <w:rPr/>
      </w:pPr>
      <w:r>
        <w:rPr/>
        <w:t xml:space="preserve">Daily Volume (10-day avg) </w:t>
        <w:tab/>
      </w:r>
      <w:r>
        <w:rPr>
          <w:rStyle w:val="Typewriter"/>
          <w:rFonts w:cs="Times New Roman"/>
        </w:rPr>
        <w:t>99.0K</w:t>
      </w:r>
      <w:r>
        <w:rPr/>
        <w:t xml:space="preserve"> </w:t>
        <w:br/>
        <w:t xml:space="preserve">52-Week Change </w:t>
        <w:tab/>
      </w:r>
      <w:r>
        <w:rPr>
          <w:rStyle w:val="Typewriter"/>
          <w:rFonts w:cs="Times New Roman"/>
        </w:rPr>
        <w:t>+14.8%</w:t>
      </w:r>
      <w:r>
        <w:rPr/>
        <w:t xml:space="preserve"> </w:t>
      </w:r>
    </w:p>
    <w:p>
      <w:pPr>
        <w:pStyle w:val="Normal"/>
        <w:tabs>
          <w:tab w:val="clear" w:pos="720"/>
          <w:tab w:val="left" w:pos="4410" w:leader="none"/>
        </w:tabs>
        <w:rPr/>
      </w:pPr>
      <w:r>
        <w:rPr/>
        <w:t xml:space="preserve">52-Week Change relative to S&amp;P500 </w:t>
        <w:tab/>
      </w:r>
      <w:r>
        <w:rPr>
          <w:rStyle w:val="Typewriter"/>
          <w:rFonts w:cs="Times New Roman"/>
        </w:rPr>
        <w:t>+2.9%</w:t>
      </w:r>
      <w:r>
        <w:rPr/>
        <w:t xml:space="preserve"> </w:t>
      </w:r>
    </w:p>
    <w:p>
      <w:pPr>
        <w:pStyle w:val="Normal"/>
        <w:tabs>
          <w:tab w:val="clear" w:pos="720"/>
          <w:tab w:val="left" w:pos="4410" w:leader="none"/>
        </w:tabs>
        <w:rPr/>
      </w:pPr>
      <w:r>
        <w:drawing>
          <wp:anchor behindDoc="0" distT="0" distB="0" distL="114935" distR="114935" simplePos="0" locked="0" layoutInCell="0" allowOverlap="1" relativeHeight="7">
            <wp:simplePos x="0" y="0"/>
            <wp:positionH relativeFrom="column">
              <wp:posOffset>0</wp:posOffset>
            </wp:positionH>
            <wp:positionV relativeFrom="paragraph">
              <wp:posOffset>367030</wp:posOffset>
            </wp:positionV>
            <wp:extent cx="1810385" cy="905510"/>
            <wp:effectExtent l="0" t="0" r="0" b="0"/>
            <wp:wrapTopAndBottom/>
            <wp:docPr id="5" name="u"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 descr="" title=""/>
                    <pic:cNvPicPr>
                      <a:picLocks noChangeAspect="1" noChangeArrowheads="1"/>
                    </pic:cNvPicPr>
                  </pic:nvPicPr>
                  <pic:blipFill>
                    <a:blip r:link="rId10"/>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Market Capitalization </w:t>
        <w:tab/>
        <w:t>$</w:t>
      </w:r>
      <w:r>
        <w:rPr>
          <w:rStyle w:val="Typewriter"/>
          <w:rFonts w:cs="Times New Roman"/>
        </w:rPr>
        <w:t>2.43B</w:t>
      </w:r>
      <w:r>
        <w:br w:type="page"/>
      </w:r>
    </w:p>
    <w:p>
      <w:pPr>
        <w:pStyle w:val="Normal"/>
        <w:rPr/>
      </w:pPr>
      <w:r>
        <w:rPr>
          <w:rFonts w:cs="Arial" w:ascii="Arial" w:hAnsi="Arial"/>
          <w:b/>
          <w:sz w:val="22"/>
        </w:rPr>
        <w:t>Lehman Brothers Holdings</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BodyText2"/>
        <w:rPr/>
      </w:pPr>
      <w:r>
        <w:rPr/>
        <w:t xml:space="preserve">Lehman Brothers Holdings, Inc. is a global investment bank that serves institutional, corporate, government and high-net-worth individual clients and customers. The Company is engaged primarily in providing financial services. The Company's business includes capital raising for clients through securities underwriting and direct placements, corporate finance and strategic advisory services, private equity investments, securities sales and trading, research, and the trading of foreign exchange, derivative products and certain commodities. The Company acts as a market maker in all major equity and fixed income products in both the domestic and international markets. </w:t>
      </w:r>
    </w:p>
    <w:p>
      <w:pPr>
        <w:pStyle w:val="Normal"/>
        <w:rPr>
          <w:sz w:val="22"/>
        </w:rPr>
      </w:pPr>
      <w:r>
        <w:rPr>
          <w:sz w:val="22"/>
        </w:rPr>
      </w:r>
    </w:p>
    <w:p>
      <w:pPr>
        <w:pStyle w:val="Normal"/>
        <w:rPr/>
      </w:pPr>
      <w:r>
        <w:rPr>
          <w:rFonts w:cs="Arial" w:ascii="Arial" w:hAnsi="Arial"/>
          <w:b/>
          <w:sz w:val="22"/>
        </w:rPr>
        <w:t>Financial Summary</w:t>
      </w:r>
      <w:r>
        <w:rPr>
          <w:sz w:val="22"/>
        </w:rPr>
        <w:t xml:space="preserve"> </w:t>
      </w:r>
    </w:p>
    <w:p>
      <w:pPr>
        <w:pStyle w:val="Normal"/>
        <w:rPr>
          <w:sz w:val="22"/>
        </w:rPr>
      </w:pPr>
      <w:r>
        <w:rPr>
          <w:sz w:val="22"/>
        </w:rPr>
      </w:r>
    </w:p>
    <w:p>
      <w:pPr>
        <w:pStyle w:val="Normal"/>
        <w:jc w:val="both"/>
        <w:rPr>
          <w:sz w:val="22"/>
        </w:rPr>
      </w:pPr>
      <w:r>
        <w:rPr>
          <w:sz w:val="22"/>
        </w:rPr>
        <w:t xml:space="preserve">Lehman Brothers Holdings is engaged in global investment banking, raising capital through underwriting and placements, merchant banking, corporate finance services, securities trading, and commodities. For the six months ended 5/31/00, total revenues rose 33% to $12.67 billion. Net income applicable to Common rose 82% to $848 million. Results reflect increased equity underwriting and financial advisory services, institutional customer flow activity and gross profit. </w:t>
      </w:r>
    </w:p>
    <w:p>
      <w:pPr>
        <w:pStyle w:val="Normal"/>
        <w:jc w:val="both"/>
        <w:rPr>
          <w:sz w:val="22"/>
        </w:rPr>
      </w:pPr>
      <w:r>
        <w:rPr>
          <w:sz w:val="22"/>
        </w:rPr>
      </w:r>
    </w:p>
    <w:p>
      <w:pPr>
        <w:pStyle w:val="Normal"/>
        <w:rPr>
          <w:sz w:val="22"/>
        </w:rPr>
      </w:pPr>
      <w:r>
        <w:rPr>
          <w:sz w:val="22"/>
        </w:rPr>
      </w:r>
    </w:p>
    <w:tbl>
      <w:tblPr>
        <w:tblW w:w="9360" w:type="dxa"/>
        <w:jc w:val="start"/>
        <w:tblInd w:w="30" w:type="dxa"/>
        <w:tblLayout w:type="fixed"/>
        <w:tblCellMar>
          <w:top w:w="0" w:type="dxa"/>
          <w:start w:w="30" w:type="dxa"/>
          <w:bottom w:w="0" w:type="dxa"/>
          <w:end w:w="30" w:type="dxa"/>
        </w:tblCellMar>
      </w:tblPr>
      <w:tblGrid>
        <w:gridCol w:w="4590"/>
        <w:gridCol w:w="3420"/>
        <w:gridCol w:w="1350"/>
      </w:tblGrid>
      <w:tr>
        <w:trPr/>
        <w:tc>
          <w:tcPr>
            <w:tcW w:w="4590" w:type="dxa"/>
            <w:tcBorders/>
            <w:vAlign w:val="center"/>
          </w:tcPr>
          <w:p>
            <w:pPr>
              <w:pStyle w:val="Normal"/>
              <w:snapToGrid w:val="false"/>
              <w:rPr>
                <w:sz w:val="18"/>
              </w:rPr>
            </w:pPr>
            <w:r>
              <w:rPr>
                <w:sz w:val="18"/>
              </w:rPr>
            </w:r>
          </w:p>
        </w:tc>
        <w:tc>
          <w:tcPr>
            <w:tcW w:w="4770" w:type="dxa"/>
            <w:gridSpan w:val="2"/>
            <w:tcBorders/>
            <w:vAlign w:val="center"/>
          </w:tcPr>
          <w:p>
            <w:pPr>
              <w:pStyle w:val="Normal"/>
              <w:jc w:val="end"/>
              <w:rPr>
                <w:sz w:val="18"/>
              </w:rPr>
            </w:pPr>
            <w:r>
              <w:rPr>
                <w:rFonts w:cs="Arial" w:ascii="Arial" w:hAnsi="Arial"/>
                <w:b/>
                <w:sz w:val="18"/>
              </w:rPr>
              <w:t>FY1999 Compensation</w:t>
            </w:r>
          </w:p>
        </w:tc>
        <w:tc>
          <w:tcPr>
            <w:tcW w:w="0" w:type="dxa"/>
            <w:vMerge w:val="continue"/>
            <w:tcBorders/>
            <w:vAlign w:val="center"/>
          </w:tcPr>
          <w:p>
            <w:pPr>
              <w:pStyle w:val="Normal"/>
              <w:snapToGrid w:val="false"/>
              <w:rPr>
                <w:sz w:val="18"/>
              </w:rPr>
            </w:pPr>
            <w:r>
              <w:rPr>
                <w:sz w:val="18"/>
              </w:rPr>
            </w:r>
          </w:p>
        </w:tc>
      </w:tr>
      <w:tr>
        <w:trPr/>
        <w:tc>
          <w:tcPr>
            <w:tcW w:w="4590" w:type="dxa"/>
            <w:tcBorders/>
            <w:vAlign w:val="center"/>
          </w:tcPr>
          <w:p>
            <w:pPr>
              <w:pStyle w:val="Normal"/>
              <w:rPr>
                <w:sz w:val="18"/>
              </w:rPr>
            </w:pPr>
            <w:r>
              <w:rPr>
                <w:rFonts w:cs="Arial" w:ascii="Arial" w:hAnsi="Arial"/>
                <w:b/>
                <w:sz w:val="22"/>
              </w:rPr>
              <w:t>Executive Attending the Meeting</w:t>
            </w:r>
          </w:p>
        </w:tc>
        <w:tc>
          <w:tcPr>
            <w:tcW w:w="3420" w:type="dxa"/>
            <w:tcBorders/>
            <w:vAlign w:val="center"/>
          </w:tcPr>
          <w:p>
            <w:pPr>
              <w:pStyle w:val="Normal"/>
              <w:jc w:val="end"/>
              <w:rPr>
                <w:sz w:val="18"/>
              </w:rPr>
            </w:pPr>
            <w:r>
              <w:rPr>
                <w:rFonts w:cs="Arial" w:ascii="Arial" w:hAnsi="Arial"/>
                <w:b/>
                <w:sz w:val="18"/>
              </w:rPr>
              <w:t>Pay</w:t>
            </w:r>
          </w:p>
        </w:tc>
        <w:tc>
          <w:tcPr>
            <w:tcW w:w="1350" w:type="dxa"/>
            <w:tcBorders/>
            <w:vAlign w:val="center"/>
          </w:tcPr>
          <w:p>
            <w:pPr>
              <w:pStyle w:val="Normal"/>
              <w:jc w:val="end"/>
              <w:rPr>
                <w:sz w:val="18"/>
              </w:rPr>
            </w:pPr>
            <w:r>
              <w:rPr>
                <w:rFonts w:cs="Arial" w:ascii="Arial" w:hAnsi="Arial"/>
                <w:b/>
                <w:sz w:val="18"/>
              </w:rPr>
              <w:t>Exer</w:t>
            </w:r>
          </w:p>
        </w:tc>
      </w:tr>
      <w:tr>
        <w:trPr/>
        <w:tc>
          <w:tcPr>
            <w:tcW w:w="4590" w:type="dxa"/>
            <w:tcBorders>
              <w:top w:val="single" w:sz="4" w:space="0" w:color="000000"/>
            </w:tcBorders>
            <w:vAlign w:val="center"/>
          </w:tcPr>
          <w:p>
            <w:pPr>
              <w:pStyle w:val="Normal"/>
              <w:snapToGrid w:val="false"/>
              <w:rPr>
                <w:b/>
                <w:sz w:val="22"/>
              </w:rPr>
            </w:pPr>
            <w:r>
              <w:rPr>
                <w:b/>
                <w:sz w:val="22"/>
              </w:rPr>
            </w:r>
          </w:p>
          <w:p>
            <w:pPr>
              <w:pStyle w:val="Normal"/>
              <w:rPr/>
            </w:pPr>
            <w:r>
              <w:rPr>
                <w:b/>
                <w:sz w:val="22"/>
              </w:rPr>
              <w:t>Richard Fuld, Jr.</w:t>
            </w:r>
            <w:r>
              <w:rPr>
                <w:sz w:val="22"/>
              </w:rPr>
              <w:t>, 53</w:t>
              <w:br/>
              <w:t>Chairman and CEO</w:t>
            </w:r>
          </w:p>
        </w:tc>
        <w:tc>
          <w:tcPr>
            <w:tcW w:w="3420" w:type="dxa"/>
            <w:tcBorders>
              <w:top w:val="single" w:sz="4" w:space="0" w:color="000000"/>
            </w:tcBorders>
            <w:vAlign w:val="center"/>
          </w:tcPr>
          <w:p>
            <w:pPr>
              <w:pStyle w:val="Normal"/>
              <w:jc w:val="end"/>
              <w:rPr>
                <w:sz w:val="22"/>
              </w:rPr>
            </w:pPr>
            <w:r>
              <w:rPr>
                <w:sz w:val="22"/>
              </w:rPr>
              <w:t>$12.8M</w:t>
            </w:r>
          </w:p>
        </w:tc>
        <w:tc>
          <w:tcPr>
            <w:tcW w:w="1350" w:type="dxa"/>
            <w:tcBorders>
              <w:top w:val="single" w:sz="4" w:space="0" w:color="000000"/>
            </w:tcBorders>
            <w:vAlign w:val="center"/>
          </w:tcPr>
          <w:p>
            <w:pPr>
              <w:pStyle w:val="Normal"/>
              <w:jc w:val="end"/>
              <w:rPr>
                <w:sz w:val="22"/>
              </w:rPr>
            </w:pPr>
            <w:r>
              <w:rPr>
                <w:sz w:val="22"/>
              </w:rPr>
              <w:t>$6.6M</w:t>
            </w:r>
          </w:p>
        </w:tc>
      </w:tr>
    </w:tbl>
    <w:p>
      <w:pPr>
        <w:pStyle w:val="Normal"/>
        <w:rPr>
          <w:sz w:val="22"/>
        </w:rPr>
      </w:pPr>
      <w:r>
        <w:rPr>
          <w:sz w:val="22"/>
        </w:rPr>
      </w:r>
    </w:p>
    <w:p>
      <w:pPr>
        <w:pStyle w:val="Normal"/>
        <w:rPr>
          <w:rFonts w:ascii="Arial" w:hAnsi="Arial" w:cs="Arial"/>
          <w:b/>
          <w:sz w:val="22"/>
        </w:rPr>
      </w:pPr>
      <w:r>
        <w:rPr>
          <w:rFonts w:cs="Arial" w:ascii="Arial" w:hAnsi="Arial"/>
          <w:b/>
          <w:sz w:val="22"/>
        </w:rPr>
      </w:r>
    </w:p>
    <w:p>
      <w:pPr>
        <w:pStyle w:val="Heading2"/>
        <w:ind w:hanging="0" w:start="0"/>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rPr>
          <w:rFonts w:cs="Arial" w:ascii="Arial" w:hAnsi="Arial"/>
          <w:b/>
        </w:rPr>
        <w:t>Price and Volume</w:t>
      </w:r>
      <w:r>
        <w:rPr/>
        <w:t xml:space="preserve"> </w:t>
      </w:r>
    </w:p>
    <w:p>
      <w:pPr>
        <w:pStyle w:val="Normal"/>
        <w:tabs>
          <w:tab w:val="clear" w:pos="720"/>
          <w:tab w:val="left" w:pos="4410" w:leader="none"/>
        </w:tabs>
        <w:rPr/>
      </w:pPr>
      <w:r>
        <w:rPr/>
        <w:t xml:space="preserve">52-Week Low on 22-Sep-1999 </w:t>
        <w:tab/>
        <w:t>$</w:t>
      </w:r>
      <w:r>
        <w:rPr>
          <w:rStyle w:val="Typewriter"/>
          <w:rFonts w:cs="Times New Roman"/>
        </w:rPr>
        <w:t xml:space="preserve">52.00 </w:t>
      </w:r>
    </w:p>
    <w:p>
      <w:pPr>
        <w:pStyle w:val="Normal"/>
        <w:tabs>
          <w:tab w:val="clear" w:pos="720"/>
          <w:tab w:val="left" w:pos="4410" w:leader="none"/>
        </w:tabs>
        <w:rPr/>
      </w:pPr>
      <w:r>
        <w:rPr/>
        <w:t xml:space="preserve">Recent Price </w:t>
        <w:tab/>
        <w:t>$</w:t>
      </w:r>
      <w:r>
        <w:rPr>
          <w:rStyle w:val="Typewriter"/>
          <w:rFonts w:cs="Times New Roman"/>
        </w:rPr>
        <w:t>131.375</w:t>
      </w:r>
      <w:r>
        <w:rPr/>
        <w:t xml:space="preserve"> </w:t>
      </w:r>
    </w:p>
    <w:p>
      <w:pPr>
        <w:pStyle w:val="Normal"/>
        <w:tabs>
          <w:tab w:val="clear" w:pos="720"/>
          <w:tab w:val="left" w:pos="4410" w:leader="none"/>
        </w:tabs>
        <w:rPr/>
      </w:pPr>
      <w:r>
        <w:rPr/>
        <w:t xml:space="preserve">52-Week High on 14-Aug-2000 </w:t>
        <w:tab/>
        <w:t>$</w:t>
      </w:r>
      <w:r>
        <w:rPr>
          <w:rStyle w:val="Typewriter"/>
          <w:rFonts w:cs="Times New Roman"/>
        </w:rPr>
        <w:t xml:space="preserve">138.25 </w:t>
      </w:r>
    </w:p>
    <w:p>
      <w:pPr>
        <w:pStyle w:val="Normal"/>
        <w:tabs>
          <w:tab w:val="clear" w:pos="720"/>
          <w:tab w:val="left" w:pos="4410" w:leader="none"/>
        </w:tabs>
        <w:rPr/>
      </w:pPr>
      <w:r>
        <w:rPr/>
        <w:t xml:space="preserve">Beta </w:t>
        <w:tab/>
      </w:r>
      <w:r>
        <w:rPr>
          <w:rStyle w:val="Typewriter"/>
          <w:rFonts w:cs="Times New Roman"/>
        </w:rPr>
        <w:t xml:space="preserve">2.42 </w:t>
      </w:r>
    </w:p>
    <w:p>
      <w:pPr>
        <w:pStyle w:val="Normal"/>
        <w:tabs>
          <w:tab w:val="clear" w:pos="720"/>
          <w:tab w:val="left" w:pos="4410" w:leader="none"/>
        </w:tabs>
        <w:rPr/>
      </w:pPr>
      <w:r>
        <w:rPr/>
        <w:t xml:space="preserve">Daily Volume (3-month avg) </w:t>
        <w:tab/>
      </w:r>
      <w:r>
        <w:rPr>
          <w:rStyle w:val="Typewriter"/>
          <w:rFonts w:cs="Times New Roman"/>
        </w:rPr>
        <w:t>1.18M</w:t>
      </w:r>
      <w:r>
        <w:rPr/>
        <w:t xml:space="preserve"> </w:t>
      </w:r>
    </w:p>
    <w:p>
      <w:pPr>
        <w:pStyle w:val="Normal"/>
        <w:tabs>
          <w:tab w:val="clear" w:pos="720"/>
          <w:tab w:val="left" w:pos="4410" w:leader="none"/>
        </w:tabs>
        <w:rPr/>
      </w:pPr>
      <w:r>
        <w:rPr/>
        <w:t xml:space="preserve">Daily Volume (10-day avg) </w:t>
        <w:tab/>
      </w:r>
      <w:r>
        <w:rPr>
          <w:rStyle w:val="Typewriter"/>
          <w:rFonts w:cs="Times New Roman"/>
        </w:rPr>
        <w:t>1.35M</w:t>
      </w:r>
      <w:r>
        <w:rPr/>
        <w:t xml:space="preserve"> </w:t>
      </w:r>
    </w:p>
    <w:p>
      <w:pPr>
        <w:pStyle w:val="Normal"/>
        <w:tabs>
          <w:tab w:val="clear" w:pos="720"/>
          <w:tab w:val="left" w:pos="4410" w:leader="none"/>
        </w:tabs>
        <w:rPr/>
      </w:pPr>
      <w:r>
        <w:rPr/>
        <w:t xml:space="preserve">52-Week Change </w:t>
        <w:tab/>
      </w:r>
      <w:r>
        <w:rPr>
          <w:rStyle w:val="Typewriter"/>
          <w:rFonts w:cs="Times New Roman"/>
        </w:rPr>
        <w:t>+131.8%</w:t>
      </w:r>
      <w:r>
        <w:rPr/>
        <w:t xml:space="preserve"> </w:t>
      </w:r>
    </w:p>
    <w:p>
      <w:pPr>
        <w:pStyle w:val="Normal"/>
        <w:tabs>
          <w:tab w:val="clear" w:pos="720"/>
          <w:tab w:val="left" w:pos="4410" w:leader="none"/>
        </w:tabs>
        <w:rPr/>
      </w:pPr>
      <w:r>
        <w:rPr/>
        <w:t xml:space="preserve">52-Week Change relative to S&amp;P500 </w:t>
        <w:tab/>
      </w:r>
      <w:r>
        <w:rPr>
          <w:rStyle w:val="Typewriter"/>
          <w:rFonts w:cs="Times New Roman"/>
        </w:rPr>
        <w:t>+107.7%</w:t>
      </w:r>
      <w:r>
        <w:rPr/>
        <w:t xml:space="preserve"> </w:t>
      </w:r>
    </w:p>
    <w:p>
      <w:pPr>
        <w:pStyle w:val="Normal"/>
        <w:tabs>
          <w:tab w:val="clear" w:pos="720"/>
          <w:tab w:val="left" w:pos="4410" w:leader="none"/>
        </w:tabs>
        <w:rPr/>
      </w:pPr>
      <w:r>
        <w:drawing>
          <wp:anchor behindDoc="0" distT="0" distB="0" distL="114935" distR="114935" simplePos="0" locked="0" layoutInCell="0" allowOverlap="1" relativeHeight="8">
            <wp:simplePos x="0" y="0"/>
            <wp:positionH relativeFrom="column">
              <wp:posOffset>0</wp:posOffset>
            </wp:positionH>
            <wp:positionV relativeFrom="paragraph">
              <wp:posOffset>396875</wp:posOffset>
            </wp:positionV>
            <wp:extent cx="1810385" cy="905510"/>
            <wp:effectExtent l="0" t="0" r="0" b="0"/>
            <wp:wrapTopAndBottom/>
            <wp:docPr id="6" name="le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h" descr="" title=""/>
                    <pic:cNvPicPr>
                      <a:picLocks noChangeAspect="1" noChangeArrowheads="1"/>
                    </pic:cNvPicPr>
                  </pic:nvPicPr>
                  <pic:blipFill>
                    <a:blip r:link="rId11"/>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Market Capitalization </w:t>
        <w:tab/>
        <w:t>$</w:t>
      </w:r>
      <w:r>
        <w:rPr>
          <w:rStyle w:val="Typewriter"/>
          <w:rFonts w:cs="Times New Roman"/>
        </w:rPr>
        <w:t>15.9B</w:t>
      </w:r>
      <w:r>
        <w:br w:type="page"/>
      </w:r>
    </w:p>
    <w:p>
      <w:pPr>
        <w:pStyle w:val="Normal"/>
        <w:rPr/>
      </w:pPr>
      <w:r>
        <w:rPr>
          <w:rFonts w:cs="Arial" w:ascii="Arial" w:hAnsi="Arial"/>
          <w:b/>
          <w:sz w:val="22"/>
        </w:rPr>
        <w:t>Monsanto/Pharmacia</w:t>
      </w:r>
    </w:p>
    <w:p>
      <w:pPr>
        <w:pStyle w:val="Normal"/>
        <w:rPr>
          <w:rStyle w:val="Typewriter"/>
          <w:sz w:val="22"/>
        </w:rPr>
      </w:pPr>
      <w:r>
        <w:rPr>
          <w:rFonts w:cs="Arial" w:ascii="Arial" w:hAnsi="Arial"/>
          <w:b/>
          <w:sz w:val="22"/>
        </w:rPr>
      </w:r>
    </w:p>
    <w:p>
      <w:pPr>
        <w:pStyle w:val="Normal"/>
        <w:rPr>
          <w:rStyle w:val="Typewriter"/>
          <w:b/>
          <w:sz w:val="22"/>
        </w:rPr>
      </w:pPr>
      <w:r>
        <w:rPr/>
      </w:r>
    </w:p>
    <w:p>
      <w:pPr>
        <w:pStyle w:val="Normal"/>
        <w:rPr>
          <w:rStyle w:val="Typewriter"/>
          <w:sz w:val="22"/>
        </w:rPr>
      </w:pPr>
      <w:r>
        <w:rPr>
          <w:rFonts w:cs="Arial" w:ascii="Arial" w:hAnsi="Arial"/>
          <w:b/>
          <w:sz w:val="22"/>
        </w:rPr>
        <w:t>Note</w:t>
      </w:r>
      <w:r>
        <w:rPr>
          <w:sz w:val="22"/>
        </w:rPr>
        <w:t>: Hendrik Verfaillie, CEO of Monsanto will be attending the meeting. As Monsanto is a wholly-owned subsidiary of Pharmacia, this page contains information related to Pharmacia Corp.</w:t>
      </w:r>
    </w:p>
    <w:p>
      <w:pPr>
        <w:pStyle w:val="Normal"/>
        <w:rPr>
          <w:rStyle w:val="Typewriter"/>
          <w:sz w:val="22"/>
        </w:rPr>
      </w:pPr>
      <w:r>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Normal"/>
        <w:rPr>
          <w:sz w:val="22"/>
        </w:rPr>
      </w:pPr>
      <w:r>
        <w:rPr>
          <w:sz w:val="22"/>
        </w:rPr>
        <w:t xml:space="preserve">Pharmacia Corporation is a global pharmaceutical group engaged in the research, development, manufacture and sale of pharmaceutical and healthcare products. The Company's core business is the development, manufacture and sale of pharmaceutical products, including both prescription and non-prescription products for humans and animals, bulk pharmaceuticals and contract manufacturing. The Company's major pharmaceutical brands include Celebrex, Xalatan, Detrol, Camptosar, Genotropin, Ambien, Nicorette and Rogaine. </w:t>
      </w:r>
    </w:p>
    <w:p>
      <w:pPr>
        <w:pStyle w:val="Normal"/>
        <w:rPr>
          <w:sz w:val="22"/>
        </w:rPr>
      </w:pPr>
      <w:r>
        <w:rPr>
          <w:sz w:val="22"/>
        </w:rPr>
      </w:r>
    </w:p>
    <w:p>
      <w:pPr>
        <w:pStyle w:val="Normal"/>
        <w:rPr/>
      </w:pPr>
      <w:r>
        <w:rPr>
          <w:sz w:val="22"/>
        </w:rPr>
        <w:t xml:space="preserve">Through its </w:t>
      </w:r>
      <w:r>
        <w:rPr>
          <w:b/>
          <w:sz w:val="22"/>
        </w:rPr>
        <w:t>Monsanto</w:t>
      </w:r>
      <w:r>
        <w:rPr>
          <w:sz w:val="22"/>
        </w:rPr>
        <w:t xml:space="preserve"> subsidiary, the Company is engaged in the research, development, manufacture and sale of various agricultural products, including: Roundup herbicide; biotechnology products that produce crops which are tolerant to Roundup herbicide and protect crops from certain viruses and insect pests; seeds, including corn, soybeans, alfalfa, sunflowers, barley, cotton and wheat; and Posilac bovine somatotropin to increase milk production in dairy cows. </w:t>
        <w:br/>
      </w:r>
    </w:p>
    <w:p>
      <w:pPr>
        <w:pStyle w:val="Normal"/>
        <w:rPr/>
      </w:pPr>
      <w:r>
        <w:rPr>
          <w:rFonts w:cs="Arial" w:ascii="Arial" w:hAnsi="Arial"/>
          <w:b/>
          <w:sz w:val="22"/>
        </w:rPr>
        <w:t>Financial Summary</w:t>
      </w:r>
      <w:r>
        <w:rPr>
          <w:sz w:val="22"/>
        </w:rPr>
        <w:t xml:space="preserve"> </w:t>
      </w:r>
    </w:p>
    <w:p>
      <w:pPr>
        <w:pStyle w:val="Normal"/>
        <w:rPr>
          <w:sz w:val="22"/>
        </w:rPr>
      </w:pPr>
      <w:r>
        <w:rPr>
          <w:sz w:val="22"/>
        </w:rPr>
      </w:r>
    </w:p>
    <w:p>
      <w:pPr>
        <w:pStyle w:val="Normal"/>
        <w:rPr>
          <w:sz w:val="22"/>
        </w:rPr>
      </w:pPr>
      <w:r>
        <w:rPr>
          <w:sz w:val="22"/>
        </w:rPr>
        <w:t xml:space="preserve">Pharmacia Corp. is engaged in the research, development, manufacture and sale of pharmaceuticals and other related health care products and agricultural products. For the six months ended 6/30/00, revenues rose 10% to $9.32 billion. Net income from continuing operations before acct. change applicable to Common decreased 44% to $472 million. Revenues reflect sales growth for continuing businesses. Earnings were offset by a $572 million restructuring charge. </w:t>
      </w:r>
    </w:p>
    <w:p>
      <w:pPr>
        <w:pStyle w:val="Normal"/>
        <w:rPr>
          <w:sz w:val="22"/>
        </w:rPr>
      </w:pPr>
      <w:r>
        <w:rPr>
          <w:sz w:val="22"/>
        </w:rPr>
      </w:r>
    </w:p>
    <w:tbl>
      <w:tblPr>
        <w:tblW w:w="9360" w:type="dxa"/>
        <w:jc w:val="start"/>
        <w:tblInd w:w="30" w:type="dxa"/>
        <w:tblLayout w:type="fixed"/>
        <w:tblCellMar>
          <w:top w:w="0" w:type="dxa"/>
          <w:start w:w="30" w:type="dxa"/>
          <w:bottom w:w="0" w:type="dxa"/>
          <w:end w:w="30" w:type="dxa"/>
        </w:tblCellMar>
      </w:tblPr>
      <w:tblGrid>
        <w:gridCol w:w="7110"/>
        <w:gridCol w:w="2250"/>
      </w:tblGrid>
      <w:tr>
        <w:trPr/>
        <w:tc>
          <w:tcPr>
            <w:tcW w:w="7110" w:type="dxa"/>
            <w:tcBorders/>
            <w:vAlign w:val="center"/>
          </w:tcPr>
          <w:p>
            <w:pPr>
              <w:pStyle w:val="Normal"/>
              <w:rPr>
                <w:sz w:val="22"/>
              </w:rPr>
            </w:pPr>
            <w:r>
              <w:rPr>
                <w:sz w:val="22"/>
              </w:rPr>
              <w:br/>
            </w:r>
            <w:r>
              <w:rPr>
                <w:rFonts w:cs="Arial" w:ascii="Arial" w:hAnsi="Arial"/>
                <w:b/>
                <w:sz w:val="22"/>
              </w:rPr>
              <w:t>Executive Attending the Meeting</w:t>
            </w:r>
          </w:p>
        </w:tc>
        <w:tc>
          <w:tcPr>
            <w:tcW w:w="2250" w:type="dxa"/>
            <w:tcBorders/>
            <w:vAlign w:val="center"/>
          </w:tcPr>
          <w:p>
            <w:pPr>
              <w:pStyle w:val="Normal"/>
              <w:rPr>
                <w:sz w:val="22"/>
              </w:rPr>
            </w:pPr>
            <w:r>
              <w:rPr>
                <w:b/>
                <w:sz w:val="22"/>
              </w:rPr>
              <w:t>Position</w:t>
            </w:r>
          </w:p>
        </w:tc>
      </w:tr>
      <w:tr>
        <w:trPr/>
        <w:tc>
          <w:tcPr>
            <w:tcW w:w="7110" w:type="dxa"/>
            <w:tcBorders>
              <w:top w:val="single" w:sz="4" w:space="0" w:color="000000"/>
            </w:tcBorders>
            <w:vAlign w:val="center"/>
          </w:tcPr>
          <w:p>
            <w:pPr>
              <w:pStyle w:val="Normal"/>
              <w:snapToGrid w:val="false"/>
              <w:rPr>
                <w:b/>
                <w:sz w:val="22"/>
              </w:rPr>
            </w:pPr>
            <w:r>
              <w:rPr>
                <w:b/>
                <w:sz w:val="22"/>
              </w:rPr>
            </w:r>
          </w:p>
          <w:p>
            <w:pPr>
              <w:pStyle w:val="Normal"/>
              <w:rPr>
                <w:sz w:val="22"/>
              </w:rPr>
            </w:pPr>
            <w:r>
              <w:rPr>
                <w:b/>
                <w:sz w:val="22"/>
              </w:rPr>
              <w:t>Hendrik A. Verfaillie</w:t>
            </w:r>
          </w:p>
        </w:tc>
        <w:tc>
          <w:tcPr>
            <w:tcW w:w="2250" w:type="dxa"/>
            <w:tcBorders>
              <w:top w:val="single" w:sz="4" w:space="0" w:color="000000"/>
            </w:tcBorders>
            <w:vAlign w:val="center"/>
          </w:tcPr>
          <w:p>
            <w:pPr>
              <w:pStyle w:val="Normal"/>
              <w:rPr>
                <w:sz w:val="22"/>
              </w:rPr>
            </w:pPr>
            <w:r>
              <w:rPr>
                <w:sz w:val="22"/>
              </w:rPr>
              <w:t>President, CEO, Monsanto</w:t>
            </w:r>
          </w:p>
        </w:tc>
      </w:tr>
    </w:tbl>
    <w:p>
      <w:pPr>
        <w:pStyle w:val="Normal"/>
        <w:rPr/>
      </w:pPr>
      <w:r>
        <w:rPr/>
      </w:r>
    </w:p>
    <w:p>
      <w:pPr>
        <w:pStyle w:val="Heading2"/>
        <w:ind w:hanging="0" w:start="0"/>
        <w:rPr/>
      </w:pPr>
      <w:r>
        <w:rPr/>
      </w:r>
    </w:p>
    <w:p>
      <w:pPr>
        <w:pStyle w:val="Heading2"/>
        <w:ind w:hanging="0" w:start="0"/>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rPr>
          <w:rFonts w:cs="Arial" w:ascii="Arial" w:hAnsi="Arial"/>
          <w:b/>
        </w:rPr>
        <w:t>Price and Volume</w:t>
      </w:r>
      <w:r>
        <w:rPr/>
        <w:t xml:space="preserve"> </w:t>
      </w:r>
    </w:p>
    <w:p>
      <w:pPr>
        <w:pStyle w:val="Normal"/>
        <w:tabs>
          <w:tab w:val="clear" w:pos="720"/>
          <w:tab w:val="left" w:pos="4410" w:leader="none"/>
        </w:tabs>
        <w:rPr/>
      </w:pPr>
      <w:r>
        <w:rPr/>
        <w:t xml:space="preserve">52-Week Low on 28-Sep-1999 </w:t>
        <w:tab/>
        <w:t>$</w:t>
      </w:r>
      <w:r>
        <w:rPr>
          <w:rStyle w:val="Typewriter"/>
          <w:rFonts w:cs="Times New Roman"/>
        </w:rPr>
        <w:t xml:space="preserve">32.75 </w:t>
      </w:r>
    </w:p>
    <w:p>
      <w:pPr>
        <w:pStyle w:val="Normal"/>
        <w:tabs>
          <w:tab w:val="clear" w:pos="720"/>
          <w:tab w:val="left" w:pos="4410" w:leader="none"/>
        </w:tabs>
        <w:rPr/>
      </w:pPr>
      <w:r>
        <w:rPr/>
        <w:t xml:space="preserve">Recent Price </w:t>
        <w:tab/>
        <w:t>$</w:t>
      </w:r>
      <w:r>
        <w:rPr>
          <w:rStyle w:val="Typewriter"/>
          <w:rFonts w:cs="Times New Roman"/>
        </w:rPr>
        <w:t>57.984</w:t>
      </w:r>
      <w:r>
        <w:rPr/>
        <w:t xml:space="preserve"> </w:t>
      </w:r>
    </w:p>
    <w:p>
      <w:pPr>
        <w:pStyle w:val="Normal"/>
        <w:tabs>
          <w:tab w:val="clear" w:pos="720"/>
          <w:tab w:val="left" w:pos="4410" w:leader="none"/>
        </w:tabs>
        <w:rPr/>
      </w:pPr>
      <w:r>
        <w:rPr/>
        <w:t xml:space="preserve">52-Week High on 17-Aug-2000 </w:t>
        <w:tab/>
        <w:t>$</w:t>
      </w:r>
      <w:r>
        <w:rPr>
          <w:rStyle w:val="Typewriter"/>
          <w:rFonts w:cs="Times New Roman"/>
        </w:rPr>
        <w:t xml:space="preserve">59.75 </w:t>
      </w:r>
    </w:p>
    <w:p>
      <w:pPr>
        <w:pStyle w:val="Normal"/>
        <w:tabs>
          <w:tab w:val="clear" w:pos="720"/>
          <w:tab w:val="left" w:pos="4410" w:leader="none"/>
        </w:tabs>
        <w:rPr/>
      </w:pPr>
      <w:r>
        <w:rPr/>
        <w:t xml:space="preserve">Beta </w:t>
      </w:r>
      <w:r>
        <w:rPr>
          <w:rStyle w:val="Typewriter"/>
          <w:rFonts w:cs="Times New Roman"/>
        </w:rPr>
        <w:t xml:space="preserve">0.52 </w:t>
      </w:r>
      <w:r>
        <w:rPr/>
        <w:t xml:space="preserve">Daily Volume (3-month avg) </w:t>
        <w:tab/>
      </w:r>
      <w:r>
        <w:rPr>
          <w:rStyle w:val="Typewriter"/>
          <w:rFonts w:cs="Times New Roman"/>
        </w:rPr>
        <w:t>3.97M</w:t>
      </w:r>
      <w:r>
        <w:rPr/>
        <w:t xml:space="preserve"> </w:t>
      </w:r>
    </w:p>
    <w:p>
      <w:pPr>
        <w:pStyle w:val="Normal"/>
        <w:tabs>
          <w:tab w:val="clear" w:pos="720"/>
          <w:tab w:val="left" w:pos="4410" w:leader="none"/>
        </w:tabs>
        <w:rPr/>
      </w:pPr>
      <w:r>
        <w:rPr/>
        <w:t xml:space="preserve">Daily Volume (10-day avg) </w:t>
        <w:tab/>
      </w:r>
      <w:r>
        <w:rPr>
          <w:rStyle w:val="Typewriter"/>
          <w:rFonts w:cs="Times New Roman"/>
        </w:rPr>
        <w:t>4.07M</w:t>
      </w:r>
      <w:r>
        <w:rPr/>
        <w:t xml:space="preserve"> </w:t>
      </w:r>
    </w:p>
    <w:p>
      <w:pPr>
        <w:pStyle w:val="Normal"/>
        <w:tabs>
          <w:tab w:val="clear" w:pos="720"/>
          <w:tab w:val="left" w:pos="4410" w:leader="none"/>
        </w:tabs>
        <w:rPr/>
      </w:pPr>
      <w:r>
        <w:rPr/>
        <w:t xml:space="preserve">52-Week Change </w:t>
        <w:tab/>
      </w:r>
      <w:r>
        <w:rPr>
          <w:rStyle w:val="Typewriter"/>
          <w:rFonts w:cs="Times New Roman"/>
        </w:rPr>
        <w:t>+40.6%</w:t>
      </w:r>
      <w:r>
        <w:rPr/>
        <w:t xml:space="preserve"> </w:t>
      </w:r>
    </w:p>
    <w:p>
      <w:pPr>
        <w:pStyle w:val="Normal"/>
        <w:tabs>
          <w:tab w:val="clear" w:pos="720"/>
          <w:tab w:val="left" w:pos="4410" w:leader="none"/>
        </w:tabs>
        <w:rPr/>
      </w:pPr>
      <w:r>
        <w:rPr/>
        <w:t xml:space="preserve">52-Week Change relative to S&amp;P500 </w:t>
        <w:tab/>
      </w:r>
      <w:r>
        <w:rPr>
          <w:rStyle w:val="Typewriter"/>
          <w:rFonts w:cs="Times New Roman"/>
        </w:rPr>
        <w:t>+26.0%</w:t>
      </w:r>
      <w:r>
        <w:rPr/>
        <w:t xml:space="preserve"> </w:t>
      </w:r>
    </w:p>
    <w:p>
      <w:pPr>
        <w:pStyle w:val="Normal"/>
        <w:tabs>
          <w:tab w:val="clear" w:pos="720"/>
          <w:tab w:val="left" w:pos="4410" w:leader="none"/>
        </w:tabs>
        <w:rPr/>
      </w:pPr>
      <w:r>
        <w:rPr/>
        <w:t xml:space="preserve">Market Capitalization </w:t>
        <w:tab/>
        <w:t>$</w:t>
      </w:r>
      <w:r>
        <w:rPr>
          <w:rStyle w:val="Typewriter"/>
          <w:rFonts w:cs="Times New Roman"/>
        </w:rPr>
        <w:t>75.2B</w:t>
      </w:r>
    </w:p>
    <w:p>
      <w:pPr>
        <w:pStyle w:val="Normal"/>
        <w:tabs>
          <w:tab w:val="clear" w:pos="720"/>
          <w:tab w:val="left" w:pos="4410" w:leader="none"/>
        </w:tabs>
        <w:rPr>
          <w:rStyle w:val="Typewriter"/>
          <w:rFonts w:ascii="Times New Roman" w:hAnsi="Times New Roman" w:cs="Times New Roman"/>
        </w:rPr>
      </w:pPr>
      <w:r>
        <w:rPr/>
      </w:r>
    </w:p>
    <w:p>
      <w:pPr>
        <w:pStyle w:val="Normal"/>
        <w:numPr>
          <w:ilvl w:val="0"/>
          <w:numId w:val="0"/>
        </w:numPr>
        <w:rPr/>
      </w:pPr>
      <w:r>
        <w:rPr/>
        <w:drawing>
          <wp:anchor behindDoc="0" distT="0" distB="0" distL="114935" distR="114935" simplePos="0" locked="0" layoutInCell="0" allowOverlap="1" relativeHeight="9">
            <wp:simplePos x="0" y="0"/>
            <wp:positionH relativeFrom="column">
              <wp:posOffset>0</wp:posOffset>
            </wp:positionH>
            <wp:positionV relativeFrom="paragraph">
              <wp:posOffset>154305</wp:posOffset>
            </wp:positionV>
            <wp:extent cx="1810385" cy="905510"/>
            <wp:effectExtent l="0" t="0" r="0" b="0"/>
            <wp:wrapTopAndBottom/>
            <wp:docPr id="7" name="ph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a" descr="" title=""/>
                    <pic:cNvPicPr>
                      <a:picLocks noChangeAspect="1" noChangeArrowheads="1"/>
                    </pic:cNvPicPr>
                  </pic:nvPicPr>
                  <pic:blipFill>
                    <a:blip r:link="rId12"/>
                    <a:srcRect l="-2147483648" t="-2147483648" r="-2147483648" b="-2147483648"/>
                    <a:stretch>
                      <a:fillRect/>
                    </a:stretch>
                  </pic:blipFill>
                  <pic:spPr bwMode="auto">
                    <a:xfrm>
                      <a:off x="0" y="0"/>
                      <a:ext cx="1810385" cy="905510"/>
                    </a:xfrm>
                    <a:prstGeom prst="rect">
                      <a:avLst/>
                    </a:prstGeom>
                    <a:noFill/>
                  </pic:spPr>
                </pic:pic>
              </a:graphicData>
            </a:graphic>
          </wp:anchor>
        </w:drawing>
      </w:r>
      <w:r>
        <w:br w:type="page"/>
      </w:r>
    </w:p>
    <w:p>
      <w:pPr>
        <w:pStyle w:val="Normal"/>
        <w:rPr/>
      </w:pPr>
      <w:r>
        <w:rPr/>
        <w:t xml:space="preserve"> </w:t>
      </w:r>
      <w:r>
        <w:rPr>
          <w:rFonts w:cs="Arial" w:ascii="Arial" w:hAnsi="Arial"/>
          <w:b/>
          <w:sz w:val="22"/>
        </w:rPr>
        <w:t>Grupo Vitro</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Business Summary</w:t>
      </w:r>
      <w:r>
        <w:rPr>
          <w:sz w:val="22"/>
        </w:rPr>
        <w:t xml:space="preserve"> </w:t>
      </w:r>
    </w:p>
    <w:p>
      <w:pPr>
        <w:pStyle w:val="Normal"/>
        <w:rPr>
          <w:sz w:val="22"/>
        </w:rPr>
      </w:pPr>
      <w:r>
        <w:rPr>
          <w:sz w:val="22"/>
        </w:rPr>
      </w:r>
    </w:p>
    <w:p>
      <w:pPr>
        <w:pStyle w:val="Normal"/>
        <w:jc w:val="both"/>
        <w:rPr>
          <w:sz w:val="22"/>
        </w:rPr>
      </w:pPr>
      <w:r>
        <w:rPr>
          <w:sz w:val="22"/>
        </w:rPr>
        <w:t>Vitro, Sociedad Anonima de C.V. is a Mexican manufacturer of glass and one of the two largest household products manufacturer in Mexico, serving markets in 70 countries worldwide. The Company conducts all of its operations through subsidiaries and has investments in associated companies. The Company's main product lines include glass containers, flat glass for architectural and automotive use, household appliances, glassware for table, kitchen and industrial uses, chemical and fiberglass products, and machinery and equipment for the glass industry. Although its primary operations are in Mexico, the Company manufactures products in the United States and Central and South America.</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Financial Summary</w:t>
      </w:r>
      <w:r>
        <w:rPr>
          <w:sz w:val="22"/>
        </w:rPr>
        <w:t xml:space="preserve"> </w:t>
      </w:r>
    </w:p>
    <w:p>
      <w:pPr>
        <w:pStyle w:val="Normal"/>
        <w:rPr>
          <w:sz w:val="22"/>
        </w:rPr>
      </w:pPr>
      <w:r>
        <w:rPr>
          <w:sz w:val="22"/>
        </w:rPr>
      </w:r>
    </w:p>
    <w:p>
      <w:pPr>
        <w:pStyle w:val="BodyText"/>
        <w:rPr>
          <w:sz w:val="22"/>
        </w:rPr>
      </w:pPr>
      <w:r>
        <w:rPr>
          <w:sz w:val="22"/>
        </w:rPr>
        <w:t>Vitro SA de CV, a holding company, manufactures and markets glass and plastic containers, aluminum cans, flat glass for automotive and architectural use, kitchen glassware, household appliances, chemical and fiberglass products. For the fiscal year ended 12/99, net sales fell 4% to $2.588 billion. Net income from continuing operations before extraordinary item totaled $85.1M vs. a loss of $71.0M. Results reflect decreased sales volumes, offset by a decrease in financing cost.</w:t>
      </w:r>
    </w:p>
    <w:p>
      <w:pPr>
        <w:pStyle w:val="Normal"/>
        <w:jc w:val="both"/>
        <w:rPr>
          <w:sz w:val="22"/>
        </w:rPr>
      </w:pPr>
      <w:r>
        <w:rPr>
          <w:sz w:val="22"/>
        </w:rPr>
      </w:r>
    </w:p>
    <w:tbl>
      <w:tblPr>
        <w:tblW w:w="9360" w:type="dxa"/>
        <w:jc w:val="start"/>
        <w:tblInd w:w="30" w:type="dxa"/>
        <w:tblLayout w:type="fixed"/>
        <w:tblCellMar>
          <w:top w:w="0" w:type="dxa"/>
          <w:start w:w="30" w:type="dxa"/>
          <w:bottom w:w="0" w:type="dxa"/>
          <w:end w:w="30" w:type="dxa"/>
        </w:tblCellMar>
      </w:tblPr>
      <w:tblGrid>
        <w:gridCol w:w="7110"/>
        <w:gridCol w:w="2250"/>
      </w:tblGrid>
      <w:tr>
        <w:trPr/>
        <w:tc>
          <w:tcPr>
            <w:tcW w:w="7110" w:type="dxa"/>
            <w:tcBorders/>
            <w:vAlign w:val="center"/>
          </w:tcPr>
          <w:p>
            <w:pPr>
              <w:pStyle w:val="Normal"/>
              <w:rPr>
                <w:sz w:val="22"/>
              </w:rPr>
            </w:pPr>
            <w:r>
              <w:rPr>
                <w:sz w:val="22"/>
              </w:rPr>
              <w:br/>
            </w:r>
            <w:r>
              <w:rPr>
                <w:rFonts w:cs="Arial" w:ascii="Arial" w:hAnsi="Arial"/>
                <w:b/>
                <w:sz w:val="22"/>
              </w:rPr>
              <w:t>Executive Attending the Meeting</w:t>
            </w:r>
          </w:p>
        </w:tc>
        <w:tc>
          <w:tcPr>
            <w:tcW w:w="2250" w:type="dxa"/>
            <w:tcBorders/>
            <w:vAlign w:val="center"/>
          </w:tcPr>
          <w:p>
            <w:pPr>
              <w:pStyle w:val="Normal"/>
              <w:rPr>
                <w:sz w:val="22"/>
              </w:rPr>
            </w:pPr>
            <w:r>
              <w:rPr>
                <w:b/>
                <w:sz w:val="22"/>
              </w:rPr>
              <w:t>Position</w:t>
            </w:r>
          </w:p>
        </w:tc>
      </w:tr>
      <w:tr>
        <w:trPr/>
        <w:tc>
          <w:tcPr>
            <w:tcW w:w="7110" w:type="dxa"/>
            <w:tcBorders>
              <w:top w:val="single" w:sz="4" w:space="0" w:color="000000"/>
            </w:tcBorders>
            <w:vAlign w:val="center"/>
          </w:tcPr>
          <w:p>
            <w:pPr>
              <w:pStyle w:val="Normal"/>
              <w:snapToGrid w:val="false"/>
              <w:rPr>
                <w:b/>
                <w:sz w:val="22"/>
              </w:rPr>
            </w:pPr>
            <w:r>
              <w:rPr>
                <w:b/>
                <w:sz w:val="22"/>
              </w:rPr>
            </w:r>
          </w:p>
          <w:p>
            <w:pPr>
              <w:pStyle w:val="Normal"/>
              <w:rPr>
                <w:sz w:val="22"/>
              </w:rPr>
            </w:pPr>
            <w:r>
              <w:rPr>
                <w:b/>
                <w:sz w:val="22"/>
              </w:rPr>
              <w:t>Federico Sada Gonzalez</w:t>
            </w:r>
          </w:p>
        </w:tc>
        <w:tc>
          <w:tcPr>
            <w:tcW w:w="2250" w:type="dxa"/>
            <w:tcBorders>
              <w:top w:val="single" w:sz="4" w:space="0" w:color="000000"/>
            </w:tcBorders>
            <w:vAlign w:val="center"/>
          </w:tcPr>
          <w:p>
            <w:pPr>
              <w:pStyle w:val="Normal"/>
              <w:snapToGrid w:val="false"/>
              <w:rPr>
                <w:sz w:val="22"/>
              </w:rPr>
            </w:pPr>
            <w:r>
              <w:rPr>
                <w:sz w:val="22"/>
              </w:rPr>
            </w:r>
          </w:p>
          <w:p>
            <w:pPr>
              <w:pStyle w:val="Normal"/>
              <w:rPr>
                <w:sz w:val="22"/>
              </w:rPr>
            </w:pPr>
            <w:r>
              <w:rPr>
                <w:sz w:val="22"/>
              </w:rPr>
              <w:t>President, CEO</w:t>
            </w:r>
          </w:p>
        </w:tc>
      </w:tr>
    </w:tbl>
    <w:p>
      <w:pPr>
        <w:pStyle w:val="Normal"/>
        <w:rPr/>
      </w:pPr>
      <w:r>
        <w:rPr/>
      </w:r>
    </w:p>
    <w:p>
      <w:pPr>
        <w:pStyle w:val="Heading2"/>
        <w:ind w:hanging="0" w:start="0"/>
        <w:rPr>
          <w:b w:val="false"/>
        </w:rPr>
      </w:pPr>
      <w:r>
        <w:rPr>
          <w:rFonts w:eastAsia="Arial"/>
        </w:rPr>
        <w:t xml:space="preserve"> </w:t>
      </w:r>
      <w:r>
        <w:rPr/>
        <w:t xml:space="preserve">Note: </w:t>
      </w:r>
      <w:r>
        <w:rPr>
          <w:rFonts w:cs="Times New Roman" w:ascii="Times New Roman" w:hAnsi="Times New Roman"/>
          <w:b w:val="false"/>
        </w:rPr>
        <w:t>Federico Sada currently serves as Chairman of the Mexican Council for Foreign Trade (COMCE)</w:t>
      </w:r>
    </w:p>
    <w:p>
      <w:pPr>
        <w:pStyle w:val="Heading2"/>
        <w:ind w:hanging="0" w:start="0"/>
        <w:rPr>
          <w:b w:val="false"/>
        </w:rPr>
      </w:pPr>
      <w:r>
        <w:rPr>
          <w:b w:val="false"/>
        </w:rPr>
      </w:r>
    </w:p>
    <w:p>
      <w:pPr>
        <w:pStyle w:val="Heading2"/>
        <w:ind w:hanging="0" w:start="0"/>
        <w:rPr/>
      </w:pPr>
      <w:r>
        <w:rPr/>
      </w:r>
    </w:p>
    <w:p>
      <w:pPr>
        <w:pStyle w:val="Heading2"/>
        <w:ind w:hanging="0" w:start="0"/>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rPr>
          <w:rFonts w:cs="Arial" w:ascii="Arial" w:hAnsi="Arial"/>
          <w:b/>
        </w:rPr>
        <w:t>Price and Volume</w:t>
      </w:r>
      <w:r>
        <w:rPr/>
        <w:t xml:space="preserve"> </w:t>
      </w:r>
    </w:p>
    <w:p>
      <w:pPr>
        <w:pStyle w:val="Normal"/>
        <w:tabs>
          <w:tab w:val="clear" w:pos="720"/>
          <w:tab w:val="left" w:pos="4410" w:leader="none"/>
        </w:tabs>
        <w:rPr/>
      </w:pPr>
      <w:r>
        <w:rPr/>
        <w:t xml:space="preserve">52-Week Low on 27-June-2000 </w:t>
        <w:tab/>
        <w:t>$</w:t>
      </w:r>
      <w:r>
        <w:rPr>
          <w:rStyle w:val="Typewriter"/>
          <w:rFonts w:cs="Times New Roman"/>
        </w:rPr>
        <w:t>2.938</w:t>
      </w:r>
      <w:r>
        <w:rPr/>
        <w:t xml:space="preserve"> </w:t>
      </w:r>
    </w:p>
    <w:p>
      <w:pPr>
        <w:pStyle w:val="Normal"/>
        <w:tabs>
          <w:tab w:val="clear" w:pos="720"/>
          <w:tab w:val="left" w:pos="4410" w:leader="none"/>
        </w:tabs>
        <w:rPr/>
      </w:pPr>
      <w:r>
        <w:rPr/>
        <w:t xml:space="preserve">Recent Price </w:t>
        <w:tab/>
        <w:t>$</w:t>
      </w:r>
      <w:r>
        <w:rPr>
          <w:rStyle w:val="Typewriter"/>
          <w:rFonts w:cs="Times New Roman"/>
        </w:rPr>
        <w:t>3.375</w:t>
      </w:r>
      <w:r>
        <w:rPr/>
        <w:t xml:space="preserve"> </w:t>
      </w:r>
    </w:p>
    <w:p>
      <w:pPr>
        <w:pStyle w:val="Normal"/>
        <w:tabs>
          <w:tab w:val="clear" w:pos="720"/>
          <w:tab w:val="left" w:pos="4410" w:leader="none"/>
        </w:tabs>
        <w:rPr/>
      </w:pPr>
      <w:r>
        <w:rPr/>
        <w:t xml:space="preserve">52-Week High on 20-Dec-1999 </w:t>
        <w:tab/>
        <w:t>$</w:t>
      </w:r>
      <w:r>
        <w:rPr>
          <w:rStyle w:val="Typewriter"/>
          <w:rFonts w:cs="Times New Roman"/>
        </w:rPr>
        <w:t>5.875</w:t>
      </w:r>
      <w:r>
        <w:rPr/>
        <w:t xml:space="preserve"> </w:t>
      </w:r>
    </w:p>
    <w:p>
      <w:pPr>
        <w:pStyle w:val="Normal"/>
        <w:tabs>
          <w:tab w:val="clear" w:pos="720"/>
          <w:tab w:val="left" w:pos="4410" w:leader="none"/>
        </w:tabs>
        <w:rPr/>
      </w:pPr>
      <w:r>
        <w:rPr/>
        <w:t xml:space="preserve">Beta </w:t>
        <w:tab/>
      </w:r>
      <w:r>
        <w:rPr>
          <w:rStyle w:val="Typewriter"/>
          <w:rFonts w:cs="Times New Roman"/>
        </w:rPr>
        <w:t>1.85</w:t>
      </w:r>
    </w:p>
    <w:p>
      <w:pPr>
        <w:pStyle w:val="Normal"/>
        <w:tabs>
          <w:tab w:val="clear" w:pos="720"/>
          <w:tab w:val="left" w:pos="4410" w:leader="none"/>
        </w:tabs>
        <w:rPr/>
      </w:pPr>
      <w:r>
        <w:rPr/>
        <w:t xml:space="preserve">Daily Volume (3-month avg) </w:t>
        <w:tab/>
      </w:r>
      <w:r>
        <w:rPr>
          <w:rStyle w:val="Typewriter"/>
          <w:rFonts w:cs="Times New Roman"/>
        </w:rPr>
        <w:t>37.8K</w:t>
      </w:r>
      <w:r>
        <w:rPr/>
        <w:t xml:space="preserve"> </w:t>
      </w:r>
    </w:p>
    <w:p>
      <w:pPr>
        <w:pStyle w:val="Normal"/>
        <w:tabs>
          <w:tab w:val="clear" w:pos="720"/>
          <w:tab w:val="left" w:pos="4410" w:leader="none"/>
        </w:tabs>
        <w:rPr/>
      </w:pPr>
      <w:r>
        <w:rPr/>
        <w:t xml:space="preserve">Daily Volume (10-day avg) </w:t>
        <w:tab/>
      </w:r>
      <w:r>
        <w:rPr>
          <w:rStyle w:val="Typewriter"/>
          <w:rFonts w:cs="Times New Roman"/>
        </w:rPr>
        <w:t>23.0K</w:t>
      </w:r>
      <w:r>
        <w:rPr/>
        <w:t xml:space="preserve"> </w:t>
      </w:r>
    </w:p>
    <w:p>
      <w:pPr>
        <w:pStyle w:val="Normal"/>
        <w:tabs>
          <w:tab w:val="clear" w:pos="720"/>
          <w:tab w:val="left" w:pos="4410" w:leader="none"/>
        </w:tabs>
        <w:rPr/>
      </w:pPr>
      <w:r>
        <w:rPr/>
        <w:t xml:space="preserve">52-Week Change </w:t>
        <w:tab/>
      </w:r>
      <w:r>
        <w:rPr>
          <w:rStyle w:val="Typewriter"/>
          <w:rFonts w:cs="Times New Roman"/>
        </w:rPr>
        <w:t>-18.2%</w:t>
      </w:r>
      <w:r>
        <w:rPr/>
        <w:t xml:space="preserve"> </w:t>
      </w:r>
    </w:p>
    <w:p>
      <w:pPr>
        <w:pStyle w:val="Normal"/>
        <w:tabs>
          <w:tab w:val="clear" w:pos="720"/>
          <w:tab w:val="left" w:pos="4410" w:leader="none"/>
        </w:tabs>
        <w:rPr>
          <w:b/>
        </w:rPr>
      </w:pPr>
      <w:r>
        <w:rPr/>
        <w:t xml:space="preserve">52-Week Change relative to S&amp;P500 </w:t>
        <w:tab/>
      </w:r>
      <w:r>
        <w:rPr>
          <w:rStyle w:val="Typewriter"/>
          <w:rFonts w:cs="Times New Roman"/>
        </w:rPr>
        <w:t>-26.7%</w:t>
      </w:r>
      <w:r>
        <w:rPr/>
        <w:t xml:space="preserve"> </w:t>
      </w:r>
    </w:p>
    <w:p>
      <w:pPr>
        <w:pStyle w:val="Normal"/>
        <w:tabs>
          <w:tab w:val="clear" w:pos="720"/>
          <w:tab w:val="left" w:pos="4410" w:leader="none"/>
        </w:tabs>
        <w:rPr/>
      </w:pPr>
      <w:r>
        <w:drawing>
          <wp:anchor behindDoc="0" distT="0" distB="0" distL="114935" distR="114935" simplePos="0" locked="0" layoutInCell="0" allowOverlap="1" relativeHeight="10">
            <wp:simplePos x="0" y="0"/>
            <wp:positionH relativeFrom="column">
              <wp:posOffset>0</wp:posOffset>
            </wp:positionH>
            <wp:positionV relativeFrom="paragraph">
              <wp:posOffset>337820</wp:posOffset>
            </wp:positionV>
            <wp:extent cx="1810385" cy="905510"/>
            <wp:effectExtent l="0" t="0" r="0" b="0"/>
            <wp:wrapTopAndBottom/>
            <wp:docPr id="8" name="vt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to" descr="" title=""/>
                    <pic:cNvPicPr>
                      <a:picLocks noChangeAspect="1" noChangeArrowheads="1"/>
                    </pic:cNvPicPr>
                  </pic:nvPicPr>
                  <pic:blipFill>
                    <a:blip r:link="rId13"/>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Market Capitalization </w:t>
        <w:tab/>
        <w:t>$</w:t>
      </w:r>
      <w:r>
        <w:rPr>
          <w:rStyle w:val="Typewriter"/>
          <w:rFonts w:cs="Times New Roman"/>
        </w:rPr>
        <w:t>405.0M</w:t>
      </w:r>
      <w:r>
        <w:br w:type="page"/>
      </w:r>
    </w:p>
    <w:p>
      <w:pPr>
        <w:pStyle w:val="Normal"/>
        <w:tabs>
          <w:tab w:val="clear" w:pos="720"/>
          <w:tab w:val="left" w:pos="4410" w:leader="none"/>
        </w:tabs>
        <w:rPr/>
      </w:pPr>
      <w:r>
        <w:rPr>
          <w:rFonts w:cs="Arial" w:ascii="Arial" w:hAnsi="Arial"/>
          <w:b/>
          <w:sz w:val="22"/>
        </w:rPr>
        <w:t>Pulsar Internacional (SAVIA)</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Financial Summary</w:t>
      </w:r>
      <w:r>
        <w:rPr>
          <w:sz w:val="22"/>
        </w:rPr>
        <w:t xml:space="preserve"> </w:t>
      </w:r>
    </w:p>
    <w:p>
      <w:pPr>
        <w:pStyle w:val="Normal"/>
        <w:rPr>
          <w:sz w:val="22"/>
        </w:rPr>
      </w:pPr>
      <w:r>
        <w:rPr>
          <w:sz w:val="22"/>
        </w:rPr>
      </w:r>
    </w:p>
    <w:p>
      <w:pPr>
        <w:pStyle w:val="BodyText2"/>
        <w:rPr/>
      </w:pPr>
      <w:r>
        <w:rPr/>
        <w:t>Pulsar Internacional or Savia, a diversified business group in Mexico, operates through Seguros Comercial America (insurance and financial services), Seminis (seeds supplier), Bionova (biotechnology and produce distribution), and Empaques Poderosa (packaging). For the fiscal year ended 12/99, sales rose from $892 million to $2,535 million. Net loss from continuing operations under US GAAP fell 42% to $44.7 million. Results reflect increases within the agrotechnology division and Seminis.</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Recent Earnings Announcement</w:t>
      </w:r>
      <w:r>
        <w:rPr>
          <w:sz w:val="22"/>
        </w:rPr>
        <w:br/>
      </w:r>
    </w:p>
    <w:p>
      <w:pPr>
        <w:pStyle w:val="Normal"/>
        <w:rPr>
          <w:sz w:val="22"/>
        </w:rPr>
      </w:pPr>
      <w:r>
        <w:rPr>
          <w:sz w:val="22"/>
        </w:rPr>
        <w:t xml:space="preserve">For the 3 months ended 03/31/2000, revenues were $759.6 million; after tax earnings were –15.9 million. </w:t>
      </w:r>
    </w:p>
    <w:p>
      <w:pPr>
        <w:pStyle w:val="Normal"/>
        <w:rPr>
          <w:sz w:val="22"/>
        </w:rPr>
      </w:pPr>
      <w:r>
        <w:rPr>
          <w:sz w:val="22"/>
        </w:rPr>
      </w:r>
    </w:p>
    <w:tbl>
      <w:tblPr>
        <w:tblW w:w="9360" w:type="dxa"/>
        <w:jc w:val="start"/>
        <w:tblInd w:w="30" w:type="dxa"/>
        <w:tblLayout w:type="fixed"/>
        <w:tblCellMar>
          <w:top w:w="0" w:type="dxa"/>
          <w:start w:w="30" w:type="dxa"/>
          <w:bottom w:w="0" w:type="dxa"/>
          <w:end w:w="30" w:type="dxa"/>
        </w:tblCellMar>
      </w:tblPr>
      <w:tblGrid>
        <w:gridCol w:w="7110"/>
        <w:gridCol w:w="2250"/>
      </w:tblGrid>
      <w:tr>
        <w:trPr/>
        <w:tc>
          <w:tcPr>
            <w:tcW w:w="7110" w:type="dxa"/>
            <w:tcBorders/>
            <w:vAlign w:val="center"/>
          </w:tcPr>
          <w:p>
            <w:pPr>
              <w:pStyle w:val="Normal"/>
              <w:rPr>
                <w:sz w:val="22"/>
              </w:rPr>
            </w:pPr>
            <w:r>
              <w:rPr>
                <w:sz w:val="22"/>
              </w:rPr>
              <w:br/>
            </w:r>
            <w:r>
              <w:rPr>
                <w:rFonts w:cs="Arial" w:ascii="Arial" w:hAnsi="Arial"/>
                <w:b/>
                <w:sz w:val="22"/>
              </w:rPr>
              <w:t>Executive Attending the Meeting</w:t>
            </w:r>
          </w:p>
        </w:tc>
        <w:tc>
          <w:tcPr>
            <w:tcW w:w="2250" w:type="dxa"/>
            <w:tcBorders/>
            <w:vAlign w:val="center"/>
          </w:tcPr>
          <w:p>
            <w:pPr>
              <w:pStyle w:val="Normal"/>
              <w:rPr>
                <w:sz w:val="22"/>
              </w:rPr>
            </w:pPr>
            <w:r>
              <w:rPr>
                <w:b/>
                <w:sz w:val="22"/>
              </w:rPr>
              <w:t>Position</w:t>
            </w:r>
          </w:p>
        </w:tc>
      </w:tr>
      <w:tr>
        <w:trPr/>
        <w:tc>
          <w:tcPr>
            <w:tcW w:w="7110" w:type="dxa"/>
            <w:tcBorders>
              <w:top w:val="single" w:sz="4" w:space="0" w:color="000000"/>
            </w:tcBorders>
            <w:vAlign w:val="center"/>
          </w:tcPr>
          <w:p>
            <w:pPr>
              <w:pStyle w:val="Normal"/>
              <w:snapToGrid w:val="false"/>
              <w:rPr>
                <w:b/>
                <w:sz w:val="22"/>
              </w:rPr>
            </w:pPr>
            <w:r>
              <w:rPr>
                <w:b/>
                <w:sz w:val="22"/>
              </w:rPr>
            </w:r>
          </w:p>
          <w:p>
            <w:pPr>
              <w:pStyle w:val="Normal"/>
              <w:rPr>
                <w:sz w:val="22"/>
              </w:rPr>
            </w:pPr>
            <w:r>
              <w:rPr>
                <w:b/>
                <w:sz w:val="22"/>
              </w:rPr>
              <w:t>Alfonso Romo Garza</w:t>
            </w:r>
          </w:p>
        </w:tc>
        <w:tc>
          <w:tcPr>
            <w:tcW w:w="2250" w:type="dxa"/>
            <w:tcBorders>
              <w:top w:val="single" w:sz="4" w:space="0" w:color="000000"/>
            </w:tcBorders>
            <w:vAlign w:val="center"/>
          </w:tcPr>
          <w:p>
            <w:pPr>
              <w:pStyle w:val="Normal"/>
              <w:rPr>
                <w:sz w:val="22"/>
              </w:rPr>
            </w:pPr>
            <w:r>
              <w:rPr>
                <w:sz w:val="22"/>
              </w:rPr>
              <w:t>Chairman and CEO</w:t>
            </w:r>
          </w:p>
        </w:tc>
      </w:tr>
    </w:tbl>
    <w:p>
      <w:pPr>
        <w:pStyle w:val="Normal"/>
        <w:rPr>
          <w:sz w:val="22"/>
        </w:rPr>
      </w:pPr>
      <w:r>
        <w:rPr>
          <w:sz w:val="22"/>
        </w:rPr>
      </w:r>
    </w:p>
    <w:p>
      <w:pPr>
        <w:pStyle w:val="Normal"/>
        <w:rPr>
          <w:sz w:val="22"/>
        </w:rPr>
      </w:pPr>
      <w:r>
        <w:rPr>
          <w:sz w:val="22"/>
        </w:rPr>
      </w:r>
    </w:p>
    <w:p>
      <w:pPr>
        <w:pStyle w:val="Heading2"/>
        <w:ind w:hanging="0" w:start="0"/>
        <w:rPr/>
      </w:pPr>
      <w:r>
        <w:rPr/>
        <w:t>Share Data</w:t>
      </w:r>
    </w:p>
    <w:p>
      <w:pPr>
        <w:pStyle w:val="Normal"/>
        <w:pBdr>
          <w:top w:val="single" w:sz="4" w:space="1" w:color="000000"/>
        </w:pBdr>
        <w:rPr>
          <w:rFonts w:ascii="Arial" w:hAnsi="Arial" w:cs="Arial"/>
          <w:b/>
        </w:rPr>
      </w:pPr>
      <w:r>
        <w:rPr>
          <w:rFonts w:cs="Arial" w:ascii="Arial" w:hAnsi="Arial"/>
          <w:b/>
        </w:rPr>
      </w:r>
    </w:p>
    <w:p>
      <w:pPr>
        <w:pStyle w:val="Normal"/>
        <w:pBdr>
          <w:top w:val="single" w:sz="4" w:space="1" w:color="000000"/>
        </w:pBdr>
        <w:rPr/>
      </w:pPr>
      <w:r>
        <w:rPr>
          <w:rFonts w:cs="Arial" w:ascii="Arial" w:hAnsi="Arial"/>
          <w:b/>
        </w:rPr>
        <w:t>Price and Volume</w:t>
      </w:r>
      <w:r>
        <w:rPr/>
        <w:t xml:space="preserve"> </w:t>
      </w:r>
    </w:p>
    <w:p>
      <w:pPr>
        <w:pStyle w:val="Normal"/>
        <w:rPr/>
      </w:pPr>
      <w:r>
        <w:rPr/>
      </w:r>
    </w:p>
    <w:p>
      <w:pPr>
        <w:pStyle w:val="Normal"/>
        <w:tabs>
          <w:tab w:val="clear" w:pos="720"/>
          <w:tab w:val="left" w:pos="4410" w:leader="none"/>
        </w:tabs>
        <w:rPr/>
      </w:pPr>
      <w:r>
        <w:rPr/>
        <w:t xml:space="preserve">52-Week Low on 1-Aug-2000 </w:t>
        <w:tab/>
        <w:t>$</w:t>
      </w:r>
      <w:r>
        <w:rPr>
          <w:rStyle w:val="Typewriter"/>
          <w:rFonts w:cs="Times New Roman"/>
        </w:rPr>
        <w:t>18.875</w:t>
      </w:r>
      <w:r>
        <w:rPr/>
        <w:t xml:space="preserve"> </w:t>
      </w:r>
    </w:p>
    <w:p>
      <w:pPr>
        <w:pStyle w:val="Normal"/>
        <w:tabs>
          <w:tab w:val="clear" w:pos="720"/>
          <w:tab w:val="left" w:pos="4410" w:leader="none"/>
        </w:tabs>
        <w:rPr/>
      </w:pPr>
      <w:r>
        <w:rPr/>
        <w:t xml:space="preserve">Recent Price </w:t>
        <w:tab/>
        <w:t>$</w:t>
      </w:r>
      <w:r>
        <w:rPr>
          <w:rStyle w:val="Typewriter"/>
          <w:rFonts w:cs="Times New Roman"/>
        </w:rPr>
        <w:t>19.125</w:t>
      </w:r>
      <w:r>
        <w:rPr/>
        <w:t xml:space="preserve"> </w:t>
      </w:r>
    </w:p>
    <w:p>
      <w:pPr>
        <w:pStyle w:val="Normal"/>
        <w:tabs>
          <w:tab w:val="clear" w:pos="720"/>
          <w:tab w:val="left" w:pos="4410" w:leader="none"/>
        </w:tabs>
        <w:rPr/>
      </w:pPr>
      <w:r>
        <w:rPr/>
        <w:t xml:space="preserve">52-Week High on 23-Feb-2000 </w:t>
        <w:tab/>
        <w:t>$</w:t>
      </w:r>
      <w:r>
        <w:rPr>
          <w:rStyle w:val="Typewriter"/>
          <w:rFonts w:cs="Times New Roman"/>
        </w:rPr>
        <w:t>23.938</w:t>
      </w:r>
      <w:r>
        <w:rPr/>
        <w:t xml:space="preserve"> </w:t>
      </w:r>
    </w:p>
    <w:p>
      <w:pPr>
        <w:pStyle w:val="Normal"/>
        <w:tabs>
          <w:tab w:val="clear" w:pos="720"/>
          <w:tab w:val="left" w:pos="4410" w:leader="none"/>
        </w:tabs>
        <w:rPr/>
      </w:pPr>
      <w:r>
        <w:rPr/>
        <w:t xml:space="preserve">Beta </w:t>
        <w:tab/>
      </w:r>
      <w:r>
        <w:rPr>
          <w:rStyle w:val="Typewriter"/>
          <w:rFonts w:cs="Times New Roman"/>
        </w:rPr>
        <w:t xml:space="preserve">0.54 </w:t>
      </w:r>
    </w:p>
    <w:p>
      <w:pPr>
        <w:pStyle w:val="Normal"/>
        <w:tabs>
          <w:tab w:val="clear" w:pos="720"/>
          <w:tab w:val="left" w:pos="4410" w:leader="none"/>
        </w:tabs>
        <w:rPr/>
      </w:pPr>
      <w:r>
        <w:rPr/>
        <w:t xml:space="preserve">Daily Volume (3-month avg) </w:t>
        <w:tab/>
      </w:r>
      <w:r>
        <w:rPr>
          <w:rStyle w:val="Typewriter"/>
          <w:rFonts w:cs="Times New Roman"/>
        </w:rPr>
        <w:t xml:space="preserve">4,364 </w:t>
      </w:r>
    </w:p>
    <w:p>
      <w:pPr>
        <w:pStyle w:val="Normal"/>
        <w:tabs>
          <w:tab w:val="clear" w:pos="720"/>
          <w:tab w:val="left" w:pos="4410" w:leader="none"/>
        </w:tabs>
        <w:rPr/>
      </w:pPr>
      <w:r>
        <w:rPr/>
        <w:t xml:space="preserve">Daily Volume (10-day avg) </w:t>
        <w:tab/>
      </w:r>
      <w:r>
        <w:rPr>
          <w:rStyle w:val="Typewriter"/>
          <w:rFonts w:cs="Times New Roman"/>
        </w:rPr>
        <w:t>9,000</w:t>
      </w:r>
    </w:p>
    <w:p>
      <w:pPr>
        <w:pStyle w:val="Normal"/>
        <w:tabs>
          <w:tab w:val="clear" w:pos="720"/>
          <w:tab w:val="left" w:pos="4410" w:leader="none"/>
        </w:tabs>
        <w:rPr/>
      </w:pPr>
      <w:r>
        <w:rPr/>
        <w:t xml:space="preserve">52-Week Change </w:t>
        <w:tab/>
      </w:r>
      <w:r>
        <w:rPr>
          <w:rStyle w:val="Typewriter"/>
          <w:rFonts w:cs="Times New Roman"/>
        </w:rPr>
        <w:t>-14.8%</w:t>
      </w:r>
      <w:r>
        <w:rPr/>
        <w:t xml:space="preserve"> </w:t>
      </w:r>
    </w:p>
    <w:p>
      <w:pPr>
        <w:pStyle w:val="Normal"/>
        <w:tabs>
          <w:tab w:val="clear" w:pos="720"/>
          <w:tab w:val="left" w:pos="4410" w:leader="none"/>
        </w:tabs>
        <w:rPr/>
      </w:pPr>
      <w:r>
        <w:drawing>
          <wp:anchor behindDoc="0" distT="0" distB="0" distL="114935" distR="114935" simplePos="0" locked="0" layoutInCell="0" allowOverlap="1" relativeHeight="11">
            <wp:simplePos x="0" y="0"/>
            <wp:positionH relativeFrom="column">
              <wp:posOffset>0</wp:posOffset>
            </wp:positionH>
            <wp:positionV relativeFrom="paragraph">
              <wp:posOffset>474980</wp:posOffset>
            </wp:positionV>
            <wp:extent cx="1810385" cy="905510"/>
            <wp:effectExtent l="0" t="0" r="0" b="0"/>
            <wp:wrapTopAndBottom/>
            <wp:docPr id="9" name="va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ai" descr="" title=""/>
                    <pic:cNvPicPr>
                      <a:picLocks noChangeAspect="1" noChangeArrowheads="1"/>
                    </pic:cNvPicPr>
                  </pic:nvPicPr>
                  <pic:blipFill>
                    <a:blip r:link="rId14"/>
                    <a:srcRect l="-2147483648" t="-2147483648" r="-2147483648" b="-2147483648"/>
                    <a:stretch>
                      <a:fillRect/>
                    </a:stretch>
                  </pic:blipFill>
                  <pic:spPr bwMode="auto">
                    <a:xfrm>
                      <a:off x="0" y="0"/>
                      <a:ext cx="1810385" cy="905510"/>
                    </a:xfrm>
                    <a:prstGeom prst="rect">
                      <a:avLst/>
                    </a:prstGeom>
                    <a:noFill/>
                  </pic:spPr>
                </pic:pic>
              </a:graphicData>
            </a:graphic>
          </wp:anchor>
        </w:drawing>
      </w:r>
      <w:r>
        <w:rPr/>
        <w:t xml:space="preserve">52-Week Change relative to S&amp;P500 </w:t>
        <w:tab/>
      </w:r>
      <w:r>
        <w:rPr>
          <w:rStyle w:val="Typewriter"/>
          <w:rFonts w:cs="Times New Roman"/>
        </w:rPr>
        <w:t>-23.6%</w:t>
      </w:r>
      <w:r>
        <w:rPr/>
        <w:t xml:space="preserve"> </w:t>
      </w:r>
    </w:p>
    <w:p>
      <w:pPr>
        <w:pStyle w:val="Normal"/>
        <w:tabs>
          <w:tab w:val="clear" w:pos="720"/>
          <w:tab w:val="left" w:pos="4410" w:leader="none"/>
        </w:tabs>
        <w:rPr/>
      </w:pPr>
      <w:r>
        <w:rPr/>
        <w:t xml:space="preserve">Market Capitalization </w:t>
        <w:tab/>
        <w:t>$</w:t>
      </w:r>
      <w:r>
        <w:rPr>
          <w:rStyle w:val="Typewriter"/>
          <w:rFonts w:cs="Times New Roman"/>
        </w:rPr>
        <w:t>2.25B</w:t>
      </w:r>
      <w:r>
        <w:br w:type="page"/>
      </w:r>
    </w:p>
    <w:p>
      <w:pPr>
        <w:pStyle w:val="Normal"/>
        <w:rPr/>
      </w:pPr>
      <w:r>
        <w:rPr>
          <w:rFonts w:cs="Arial" w:ascii="Arial" w:hAnsi="Arial"/>
          <w:b/>
          <w:sz w:val="22"/>
        </w:rPr>
        <w:t>Grupo Modelo</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b/>
          <w:color w:val="000000"/>
          <w:sz w:val="22"/>
        </w:rPr>
      </w:pPr>
      <w:r>
        <w:rPr>
          <w:rFonts w:cs="Arial" w:ascii="Arial" w:hAnsi="Arial"/>
          <w:b/>
          <w:color w:val="000000"/>
          <w:sz w:val="22"/>
        </w:rPr>
        <w:t>Business Description</w:t>
      </w:r>
    </w:p>
    <w:p>
      <w:pPr>
        <w:pStyle w:val="Normal"/>
        <w:rPr>
          <w:rFonts w:ascii="Arial" w:hAnsi="Arial" w:cs="Arial"/>
          <w:b/>
          <w:color w:val="000000"/>
          <w:sz w:val="22"/>
        </w:rPr>
      </w:pPr>
      <w:r>
        <w:rPr>
          <w:rFonts w:cs="Arial" w:ascii="Arial" w:hAnsi="Arial"/>
          <w:b/>
          <w:color w:val="000000"/>
          <w:sz w:val="22"/>
        </w:rPr>
      </w:r>
    </w:p>
    <w:p>
      <w:pPr>
        <w:pStyle w:val="Normal"/>
        <w:rPr/>
      </w:pPr>
      <w:r>
        <w:rPr>
          <w:sz w:val="22"/>
        </w:rPr>
        <w:t>Grupo Modelo SA produces, markets, exports and imports beer. The company is Mexico's main producer and distributor of beer. The company produces beer under the brands Corona, Modelo, Estrella, Victoria and Pacifico, which together hold a 58.9% market share of domestic and export beer sales in Mexico. The group also distributes Anhueser-Busch products in Mexico and exports beer to over 147 countries. Export sale accounted for 24% of the total net sales in 1999</w:t>
      </w:r>
      <w:r>
        <w:rPr>
          <w:rFonts w:cs="Arial" w:ascii="Arial" w:hAnsi="Arial"/>
          <w:sz w:val="22"/>
        </w:rPr>
        <w:t xml:space="preserve">. </w:t>
      </w:r>
    </w:p>
    <w:p>
      <w:pPr>
        <w:pStyle w:val="Normal"/>
        <w:rPr>
          <w:rFonts w:ascii="Arial" w:hAnsi="Arial" w:cs="Arial"/>
          <w:b/>
          <w:sz w:val="22"/>
        </w:rPr>
      </w:pPr>
      <w:r>
        <w:rPr>
          <w:rFonts w:cs="Arial" w:ascii="Arial" w:hAnsi="Arial"/>
          <w:b/>
          <w:sz w:val="22"/>
        </w:rPr>
      </w:r>
    </w:p>
    <w:p>
      <w:pPr>
        <w:pStyle w:val="Normal"/>
        <w:tabs>
          <w:tab w:val="clear" w:pos="720"/>
          <w:tab w:val="left" w:pos="4320" w:leader="none"/>
        </w:tabs>
        <w:rPr>
          <w:rFonts w:ascii="Arial" w:hAnsi="Arial" w:cs="Arial"/>
          <w:b/>
          <w:sz w:val="22"/>
        </w:rPr>
      </w:pPr>
      <w:r>
        <w:rPr>
          <w:rFonts w:cs="Arial" w:ascii="Arial" w:hAnsi="Arial"/>
          <w:b/>
          <w:sz w:val="22"/>
        </w:rPr>
      </w:r>
    </w:p>
    <w:tbl>
      <w:tblPr>
        <w:tblW w:w="9360" w:type="dxa"/>
        <w:jc w:val="start"/>
        <w:tblInd w:w="30" w:type="dxa"/>
        <w:tblLayout w:type="fixed"/>
        <w:tblCellMar>
          <w:top w:w="0" w:type="dxa"/>
          <w:start w:w="30" w:type="dxa"/>
          <w:bottom w:w="0" w:type="dxa"/>
          <w:end w:w="30" w:type="dxa"/>
        </w:tblCellMar>
      </w:tblPr>
      <w:tblGrid>
        <w:gridCol w:w="7110"/>
        <w:gridCol w:w="2250"/>
      </w:tblGrid>
      <w:tr>
        <w:trPr/>
        <w:tc>
          <w:tcPr>
            <w:tcW w:w="7110" w:type="dxa"/>
            <w:tcBorders/>
            <w:vAlign w:val="center"/>
          </w:tcPr>
          <w:p>
            <w:pPr>
              <w:pStyle w:val="Normal"/>
              <w:rPr>
                <w:sz w:val="22"/>
              </w:rPr>
            </w:pPr>
            <w:r>
              <w:rPr>
                <w:sz w:val="22"/>
              </w:rPr>
              <w:br/>
            </w:r>
            <w:r>
              <w:rPr>
                <w:rFonts w:cs="Arial" w:ascii="Arial" w:hAnsi="Arial"/>
                <w:b/>
                <w:sz w:val="22"/>
              </w:rPr>
              <w:t>Executive Attending the Meeting</w:t>
            </w:r>
          </w:p>
        </w:tc>
        <w:tc>
          <w:tcPr>
            <w:tcW w:w="2250" w:type="dxa"/>
            <w:tcBorders/>
            <w:vAlign w:val="center"/>
          </w:tcPr>
          <w:p>
            <w:pPr>
              <w:pStyle w:val="Normal"/>
              <w:rPr>
                <w:sz w:val="22"/>
              </w:rPr>
            </w:pPr>
            <w:r>
              <w:rPr>
                <w:b/>
                <w:sz w:val="22"/>
              </w:rPr>
              <w:t>Position</w:t>
            </w:r>
          </w:p>
        </w:tc>
      </w:tr>
      <w:tr>
        <w:trPr/>
        <w:tc>
          <w:tcPr>
            <w:tcW w:w="7110" w:type="dxa"/>
            <w:tcBorders>
              <w:top w:val="single" w:sz="4" w:space="0" w:color="000000"/>
            </w:tcBorders>
            <w:vAlign w:val="center"/>
          </w:tcPr>
          <w:p>
            <w:pPr>
              <w:pStyle w:val="Normal"/>
              <w:snapToGrid w:val="false"/>
              <w:rPr>
                <w:b/>
                <w:sz w:val="22"/>
              </w:rPr>
            </w:pPr>
            <w:r>
              <w:rPr>
                <w:b/>
                <w:sz w:val="22"/>
              </w:rPr>
            </w:r>
          </w:p>
          <w:p>
            <w:pPr>
              <w:pStyle w:val="Normal"/>
              <w:rPr>
                <w:sz w:val="22"/>
              </w:rPr>
            </w:pPr>
            <w:r>
              <w:rPr>
                <w:b/>
                <w:sz w:val="22"/>
              </w:rPr>
              <w:t>Valentin Diez-Morodo</w:t>
            </w:r>
          </w:p>
        </w:tc>
        <w:tc>
          <w:tcPr>
            <w:tcW w:w="2250" w:type="dxa"/>
            <w:tcBorders>
              <w:top w:val="single" w:sz="4" w:space="0" w:color="000000"/>
            </w:tcBorders>
            <w:vAlign w:val="center"/>
          </w:tcPr>
          <w:p>
            <w:pPr>
              <w:pStyle w:val="Normal"/>
              <w:rPr>
                <w:sz w:val="22"/>
              </w:rPr>
            </w:pPr>
            <w:r>
              <w:rPr>
                <w:sz w:val="22"/>
              </w:rPr>
              <w:t>Sr. Vice-President</w:t>
            </w:r>
          </w:p>
        </w:tc>
      </w:tr>
    </w:tbl>
    <w:p>
      <w:pPr>
        <w:pStyle w:val="Normal"/>
        <w:rPr/>
      </w:pPr>
      <w:r>
        <w:rPr/>
      </w:r>
    </w:p>
    <w:p>
      <w:pPr>
        <w:pStyle w:val="Normal"/>
        <w:tabs>
          <w:tab w:val="clear" w:pos="720"/>
          <w:tab w:val="left" w:pos="4320" w:leader="none"/>
        </w:tabs>
        <w:rPr>
          <w:b/>
          <w:sz w:val="22"/>
        </w:rPr>
      </w:pPr>
      <w:r>
        <w:rPr>
          <w:b/>
          <w:sz w:val="22"/>
        </w:rPr>
      </w:r>
    </w:p>
    <w:p>
      <w:pPr>
        <w:pStyle w:val="Normal"/>
        <w:tabs>
          <w:tab w:val="clear" w:pos="720"/>
          <w:tab w:val="left" w:pos="4320" w:leader="none"/>
        </w:tabs>
        <w:rPr>
          <w:rFonts w:ascii="Arial" w:hAnsi="Arial" w:cs="Arial"/>
        </w:rPr>
      </w:pPr>
      <w:r>
        <w:rPr>
          <w:rFonts w:cs="Arial" w:ascii="Arial" w:hAnsi="Arial"/>
          <w:b/>
          <w:sz w:val="22"/>
        </w:rPr>
        <w:t xml:space="preserve">Note: </w:t>
      </w:r>
      <w:r>
        <w:rPr>
          <w:sz w:val="22"/>
        </w:rPr>
        <w:t>Valentin Diez is one of the main shareholders of Grupo Modelo, and currently serves as Chairman of the Mexican Business Round Table (Consejo Mexicano de Hombres de Negocios).</w:t>
      </w:r>
    </w:p>
    <w:p>
      <w:pPr>
        <w:pStyle w:val="Normal"/>
        <w:tabs>
          <w:tab w:val="clear" w:pos="720"/>
          <w:tab w:val="left" w:pos="4320" w:leader="none"/>
        </w:tabs>
        <w:rPr>
          <w:rFonts w:ascii="Arial" w:hAnsi="Arial" w:cs="Arial"/>
          <w:b/>
        </w:rPr>
      </w:pPr>
      <w:r>
        <w:rPr>
          <w:rFonts w:cs="Arial" w:ascii="Arial" w:hAnsi="Arial"/>
          <w:b/>
        </w:rPr>
      </w:r>
    </w:p>
    <w:p>
      <w:pPr>
        <w:pStyle w:val="Normal"/>
        <w:tabs>
          <w:tab w:val="clear" w:pos="720"/>
          <w:tab w:val="left" w:pos="4320" w:leader="none"/>
        </w:tabs>
        <w:rPr>
          <w:rFonts w:ascii="Arial" w:hAnsi="Arial" w:cs="Arial"/>
          <w:b/>
        </w:rPr>
      </w:pPr>
      <w:r>
        <w:rPr>
          <w:rFonts w:cs="Arial" w:ascii="Arial" w:hAnsi="Arial"/>
          <w:b/>
        </w:rPr>
      </w:r>
    </w:p>
    <w:p>
      <w:pPr>
        <w:pStyle w:val="Normal"/>
        <w:tabs>
          <w:tab w:val="clear" w:pos="720"/>
          <w:tab w:val="left" w:pos="4320" w:leader="none"/>
        </w:tabs>
        <w:rPr>
          <w:rFonts w:ascii="Arial" w:hAnsi="Arial" w:cs="Arial"/>
        </w:rPr>
      </w:pPr>
      <w:r>
        <w:rPr>
          <w:rFonts w:cs="Arial" w:ascii="Arial" w:hAnsi="Arial"/>
          <w:b/>
        </w:rPr>
        <w:t xml:space="preserve">Current outstanding shares: </w:t>
        <w:tab/>
      </w:r>
      <w:r>
        <w:rPr/>
        <w:t xml:space="preserve">3,251 M </w:t>
      </w:r>
    </w:p>
    <w:p>
      <w:pPr>
        <w:pStyle w:val="Normal"/>
        <w:tabs>
          <w:tab w:val="clear" w:pos="720"/>
          <w:tab w:val="left" w:pos="4320" w:leader="none"/>
        </w:tabs>
        <w:rPr>
          <w:rFonts w:ascii="Arial" w:hAnsi="Arial" w:cs="Arial"/>
        </w:rPr>
      </w:pPr>
      <w:r>
        <w:rPr>
          <w:rFonts w:cs="Arial" w:ascii="Arial" w:hAnsi="Arial"/>
          <w:b/>
        </w:rPr>
        <w:t xml:space="preserve">Number of employees: </w:t>
        <w:tab/>
      </w:r>
      <w:r>
        <w:rPr/>
        <w:t xml:space="preserve">44,040 </w:t>
      </w:r>
    </w:p>
    <w:p>
      <w:pPr>
        <w:pStyle w:val="Normal"/>
        <w:tabs>
          <w:tab w:val="clear" w:pos="720"/>
          <w:tab w:val="left" w:pos="4320" w:leader="none"/>
        </w:tabs>
        <w:rPr>
          <w:rFonts w:ascii="Arial" w:hAnsi="Arial" w:cs="Arial"/>
          <w:sz w:val="22"/>
        </w:rPr>
      </w:pPr>
      <w:r>
        <w:rPr>
          <w:rFonts w:cs="Arial" w:ascii="Arial" w:hAnsi="Arial"/>
          <w:b/>
        </w:rPr>
        <w:t xml:space="preserve">Market value: </w:t>
        <w:tab/>
      </w:r>
      <w:r>
        <w:rPr>
          <w:b/>
        </w:rPr>
        <w:t>$</w:t>
      </w:r>
      <w:r>
        <w:rPr/>
        <w:t>744.7 M</w:t>
      </w:r>
    </w:p>
    <w:p>
      <w:pPr>
        <w:pStyle w:val="Normal"/>
        <w:rPr>
          <w:rFonts w:ascii="Arial" w:hAnsi="Arial" w:cs="Arial"/>
          <w:sz w:val="22"/>
        </w:rPr>
      </w:pPr>
      <w:r>
        <w:rPr>
          <w:rFonts w:cs="Arial" w:ascii="Arial" w:hAnsi="Arial"/>
          <w:sz w:val="22"/>
        </w:rPr>
      </w:r>
    </w:p>
    <w:p>
      <w:pPr>
        <w:pStyle w:val="Normal"/>
        <w:rPr>
          <w:rFonts w:ascii="Arial" w:hAnsi="Arial" w:cs="Arial"/>
          <w:b/>
          <w:color w:val="0000FF"/>
          <w:sz w:val="22"/>
        </w:rPr>
      </w:pPr>
      <w:r>
        <w:rPr>
          <w:rFonts w:cs="Arial" w:ascii="Arial" w:hAnsi="Arial"/>
          <w:b/>
          <w:color w:val="0000FF"/>
          <w:sz w:val="22"/>
        </w:rPr>
      </w:r>
    </w:p>
    <w:p>
      <w:pPr>
        <w:pStyle w:val="Normal"/>
        <w:rPr/>
      </w:pPr>
      <w:r>
        <w:rPr>
          <w:rFonts w:cs="Arial" w:ascii="Arial" w:hAnsi="Arial"/>
          <w:b/>
          <w:color w:val="0000FF"/>
          <w:sz w:val="22"/>
        </w:rPr>
        <w:t>Five Year Summary</w:t>
      </w:r>
      <w:r>
        <w:rPr/>
        <w:t xml:space="preserve"> </w:t>
      </w:r>
    </w:p>
    <w:tbl>
      <w:tblPr>
        <w:tblW w:w="6390" w:type="dxa"/>
        <w:jc w:val="start"/>
        <w:tblInd w:w="108" w:type="dxa"/>
        <w:tblLayout w:type="fixed"/>
        <w:tblCellMar>
          <w:top w:w="0" w:type="dxa"/>
          <w:start w:w="108" w:type="dxa"/>
          <w:bottom w:w="0" w:type="dxa"/>
          <w:end w:w="108" w:type="dxa"/>
        </w:tblCellMar>
      </w:tblPr>
      <w:tblGrid>
        <w:gridCol w:w="990"/>
        <w:gridCol w:w="2070"/>
        <w:gridCol w:w="2577"/>
        <w:gridCol w:w="753"/>
      </w:tblGrid>
      <w:tr>
        <w:trPr/>
        <w:tc>
          <w:tcPr>
            <w:tcW w:w="9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b/>
                <w:color w:val="0000FF"/>
                <w:sz w:val="22"/>
              </w:rPr>
              <w:t>Date</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b/>
                <w:color w:val="0000FF"/>
                <w:sz w:val="22"/>
              </w:rPr>
              <w:t>Sales (M US)</w:t>
            </w:r>
          </w:p>
        </w:tc>
        <w:tc>
          <w:tcPr>
            <w:tcW w:w="257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b/>
                <w:color w:val="0000FF"/>
                <w:sz w:val="22"/>
              </w:rPr>
              <w:t>Net Income (M US)</w:t>
            </w:r>
          </w:p>
        </w:tc>
        <w:tc>
          <w:tcPr>
            <w:tcW w:w="75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b/>
                <w:color w:val="0000FF"/>
                <w:sz w:val="22"/>
              </w:rPr>
              <w:t xml:space="preserve">Eps </w:t>
            </w:r>
          </w:p>
        </w:tc>
      </w:tr>
      <w:tr>
        <w:trPr/>
        <w:tc>
          <w:tcPr>
            <w:tcW w:w="990" w:type="dxa"/>
            <w:tcBorders>
              <w:top w:val="single" w:sz="4" w:space="0" w:color="000000"/>
              <w:start w:val="single" w:sz="4" w:space="0" w:color="000000"/>
              <w:bottom w:val="single" w:sz="4" w:space="0" w:color="000000"/>
              <w:end w:val="single" w:sz="4" w:space="0" w:color="000000"/>
            </w:tcBorders>
          </w:tcPr>
          <w:p>
            <w:pPr>
              <w:pStyle w:val="Normal"/>
              <w:rPr/>
            </w:pPr>
            <w:r>
              <w:rPr/>
              <w:t>1999</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2,457</w:t>
            </w:r>
          </w:p>
        </w:tc>
        <w:tc>
          <w:tcPr>
            <w:tcW w:w="2577" w:type="dxa"/>
            <w:tcBorders>
              <w:top w:val="single" w:sz="4" w:space="0" w:color="000000"/>
              <w:start w:val="single" w:sz="4" w:space="0" w:color="000000"/>
              <w:bottom w:val="single" w:sz="4" w:space="0" w:color="000000"/>
              <w:end w:val="single" w:sz="4" w:space="0" w:color="000000"/>
            </w:tcBorders>
          </w:tcPr>
          <w:p>
            <w:pPr>
              <w:pStyle w:val="Normal"/>
              <w:jc w:val="center"/>
              <w:rPr/>
            </w:pPr>
            <w:r>
              <w:rPr/>
              <w:t>278</w:t>
            </w:r>
          </w:p>
        </w:tc>
        <w:tc>
          <w:tcPr>
            <w:tcW w:w="753" w:type="dxa"/>
            <w:tcBorders>
              <w:top w:val="single" w:sz="4" w:space="0" w:color="000000"/>
              <w:start w:val="single" w:sz="4" w:space="0" w:color="000000"/>
              <w:bottom w:val="single" w:sz="4" w:space="0" w:color="000000"/>
              <w:end w:val="single" w:sz="4" w:space="0" w:color="000000"/>
            </w:tcBorders>
          </w:tcPr>
          <w:p>
            <w:pPr>
              <w:pStyle w:val="Normal"/>
              <w:rPr/>
            </w:pPr>
            <w:r>
              <w:rPr/>
              <w:t>0.86</w:t>
            </w:r>
          </w:p>
        </w:tc>
      </w:tr>
      <w:tr>
        <w:trPr/>
        <w:tc>
          <w:tcPr>
            <w:tcW w:w="990" w:type="dxa"/>
            <w:tcBorders>
              <w:top w:val="single" w:sz="4" w:space="0" w:color="000000"/>
              <w:start w:val="single" w:sz="4" w:space="0" w:color="000000"/>
              <w:bottom w:val="single" w:sz="4" w:space="0" w:color="000000"/>
              <w:end w:val="single" w:sz="4" w:space="0" w:color="000000"/>
            </w:tcBorders>
          </w:tcPr>
          <w:p>
            <w:pPr>
              <w:pStyle w:val="Normal"/>
              <w:rPr/>
            </w:pPr>
            <w:r>
              <w:rPr/>
              <w:t>1998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2,062</w:t>
            </w:r>
          </w:p>
        </w:tc>
        <w:tc>
          <w:tcPr>
            <w:tcW w:w="2577" w:type="dxa"/>
            <w:tcBorders>
              <w:top w:val="single" w:sz="4" w:space="0" w:color="000000"/>
              <w:start w:val="single" w:sz="4" w:space="0" w:color="000000"/>
              <w:bottom w:val="single" w:sz="4" w:space="0" w:color="000000"/>
              <w:end w:val="single" w:sz="4" w:space="0" w:color="000000"/>
            </w:tcBorders>
          </w:tcPr>
          <w:p>
            <w:pPr>
              <w:pStyle w:val="Normal"/>
              <w:jc w:val="center"/>
              <w:rPr/>
            </w:pPr>
            <w:r>
              <w:rPr/>
              <w:t>227</w:t>
            </w:r>
          </w:p>
        </w:tc>
        <w:tc>
          <w:tcPr>
            <w:tcW w:w="753" w:type="dxa"/>
            <w:tcBorders>
              <w:top w:val="single" w:sz="4" w:space="0" w:color="000000"/>
              <w:start w:val="single" w:sz="4" w:space="0" w:color="000000"/>
              <w:bottom w:val="single" w:sz="4" w:space="0" w:color="000000"/>
              <w:end w:val="single" w:sz="4" w:space="0" w:color="000000"/>
            </w:tcBorders>
          </w:tcPr>
          <w:p>
            <w:pPr>
              <w:pStyle w:val="Normal"/>
              <w:rPr/>
            </w:pPr>
            <w:r>
              <w:rPr/>
              <w:t>0.71</w:t>
            </w:r>
          </w:p>
        </w:tc>
      </w:tr>
      <w:tr>
        <w:trPr/>
        <w:tc>
          <w:tcPr>
            <w:tcW w:w="990" w:type="dxa"/>
            <w:tcBorders>
              <w:top w:val="single" w:sz="4" w:space="0" w:color="000000"/>
              <w:start w:val="single" w:sz="4" w:space="0" w:color="000000"/>
              <w:bottom w:val="single" w:sz="4" w:space="0" w:color="000000"/>
              <w:end w:val="single" w:sz="4" w:space="0" w:color="000000"/>
            </w:tcBorders>
          </w:tcPr>
          <w:p>
            <w:pPr>
              <w:pStyle w:val="Normal"/>
              <w:rPr/>
            </w:pPr>
            <w:r>
              <w:rPr/>
              <w:t>1997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1,552</w:t>
            </w:r>
          </w:p>
        </w:tc>
        <w:tc>
          <w:tcPr>
            <w:tcW w:w="2577" w:type="dxa"/>
            <w:tcBorders>
              <w:top w:val="single" w:sz="4" w:space="0" w:color="000000"/>
              <w:start w:val="single" w:sz="4" w:space="0" w:color="000000"/>
              <w:bottom w:val="single" w:sz="4" w:space="0" w:color="000000"/>
              <w:end w:val="single" w:sz="4" w:space="0" w:color="000000"/>
            </w:tcBorders>
          </w:tcPr>
          <w:p>
            <w:pPr>
              <w:pStyle w:val="Normal"/>
              <w:jc w:val="center"/>
              <w:rPr/>
            </w:pPr>
            <w:r>
              <w:rPr/>
              <w:t>161</w:t>
            </w:r>
          </w:p>
        </w:tc>
        <w:tc>
          <w:tcPr>
            <w:tcW w:w="753" w:type="dxa"/>
            <w:tcBorders>
              <w:top w:val="single" w:sz="4" w:space="0" w:color="000000"/>
              <w:start w:val="single" w:sz="4" w:space="0" w:color="000000"/>
              <w:bottom w:val="single" w:sz="4" w:space="0" w:color="000000"/>
              <w:end w:val="single" w:sz="4" w:space="0" w:color="000000"/>
            </w:tcBorders>
          </w:tcPr>
          <w:p>
            <w:pPr>
              <w:pStyle w:val="Normal"/>
              <w:rPr/>
            </w:pPr>
            <w:r>
              <w:rPr/>
              <w:t>0.52</w:t>
            </w:r>
          </w:p>
        </w:tc>
      </w:tr>
      <w:tr>
        <w:trPr/>
        <w:tc>
          <w:tcPr>
            <w:tcW w:w="990" w:type="dxa"/>
            <w:tcBorders>
              <w:top w:val="single" w:sz="4" w:space="0" w:color="000000"/>
              <w:start w:val="single" w:sz="4" w:space="0" w:color="000000"/>
              <w:bottom w:val="single" w:sz="4" w:space="0" w:color="000000"/>
              <w:end w:val="single" w:sz="4" w:space="0" w:color="000000"/>
            </w:tcBorders>
          </w:tcPr>
          <w:p>
            <w:pPr>
              <w:pStyle w:val="Normal"/>
              <w:rPr/>
            </w:pPr>
            <w:r>
              <w:rPr/>
              <w:t>1996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1,176</w:t>
            </w:r>
          </w:p>
        </w:tc>
        <w:tc>
          <w:tcPr>
            <w:tcW w:w="2577" w:type="dxa"/>
            <w:tcBorders>
              <w:top w:val="single" w:sz="4" w:space="0" w:color="000000"/>
              <w:start w:val="single" w:sz="4" w:space="0" w:color="000000"/>
              <w:bottom w:val="single" w:sz="4" w:space="0" w:color="000000"/>
              <w:end w:val="single" w:sz="4" w:space="0" w:color="000000"/>
            </w:tcBorders>
          </w:tcPr>
          <w:p>
            <w:pPr>
              <w:pStyle w:val="Normal"/>
              <w:jc w:val="center"/>
              <w:rPr/>
            </w:pPr>
            <w:r>
              <w:rPr/>
              <w:t>122</w:t>
            </w:r>
          </w:p>
        </w:tc>
        <w:tc>
          <w:tcPr>
            <w:tcW w:w="753" w:type="dxa"/>
            <w:tcBorders>
              <w:top w:val="single" w:sz="4" w:space="0" w:color="000000"/>
              <w:start w:val="single" w:sz="4" w:space="0" w:color="000000"/>
              <w:bottom w:val="single" w:sz="4" w:space="0" w:color="000000"/>
              <w:end w:val="single" w:sz="4" w:space="0" w:color="000000"/>
            </w:tcBorders>
          </w:tcPr>
          <w:p>
            <w:pPr>
              <w:pStyle w:val="Normal"/>
              <w:rPr/>
            </w:pPr>
            <w:r>
              <w:rPr/>
              <w:t>0.33</w:t>
            </w:r>
          </w:p>
        </w:tc>
      </w:tr>
      <w:tr>
        <w:trPr/>
        <w:tc>
          <w:tcPr>
            <w:tcW w:w="990" w:type="dxa"/>
            <w:tcBorders>
              <w:top w:val="single" w:sz="4" w:space="0" w:color="000000"/>
              <w:start w:val="single" w:sz="4" w:space="0" w:color="000000"/>
              <w:bottom w:val="single" w:sz="4" w:space="0" w:color="000000"/>
              <w:end w:val="single" w:sz="4" w:space="0" w:color="000000"/>
            </w:tcBorders>
          </w:tcPr>
          <w:p>
            <w:pPr>
              <w:pStyle w:val="Normal"/>
              <w:rPr/>
            </w:pPr>
            <w:r>
              <w:rPr/>
              <w:t>1995</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981</w:t>
            </w:r>
          </w:p>
        </w:tc>
        <w:tc>
          <w:tcPr>
            <w:tcW w:w="2577" w:type="dxa"/>
            <w:tcBorders>
              <w:top w:val="single" w:sz="4" w:space="0" w:color="000000"/>
              <w:start w:val="single" w:sz="4" w:space="0" w:color="000000"/>
              <w:bottom w:val="single" w:sz="4" w:space="0" w:color="000000"/>
              <w:end w:val="single" w:sz="4" w:space="0" w:color="000000"/>
            </w:tcBorders>
          </w:tcPr>
          <w:p>
            <w:pPr>
              <w:pStyle w:val="Normal"/>
              <w:jc w:val="center"/>
              <w:rPr/>
            </w:pPr>
            <w:r>
              <w:rPr/>
              <w:t>83</w:t>
            </w:r>
          </w:p>
        </w:tc>
        <w:tc>
          <w:tcPr>
            <w:tcW w:w="753" w:type="dxa"/>
            <w:tcBorders>
              <w:top w:val="single" w:sz="4" w:space="0" w:color="000000"/>
              <w:start w:val="single" w:sz="4" w:space="0" w:color="000000"/>
              <w:bottom w:val="single" w:sz="4" w:space="0" w:color="000000"/>
              <w:end w:val="single" w:sz="4" w:space="0" w:color="000000"/>
            </w:tcBorders>
          </w:tcPr>
          <w:p>
            <w:pPr>
              <w:pStyle w:val="Normal"/>
              <w:rPr/>
            </w:pPr>
            <w:r>
              <w:rPr/>
              <w:t>0.26</w:t>
            </w:r>
          </w:p>
        </w:tc>
      </w:tr>
    </w:tbl>
    <w:p>
      <w:pPr>
        <w:pStyle w:val="Normal"/>
        <w:rPr>
          <w:rFonts w:ascii="Arial" w:hAnsi="Arial" w:cs="Arial"/>
          <w:sz w:val="22"/>
        </w:rPr>
      </w:pPr>
      <w:r>
        <w:rPr>
          <w:rFonts w:cs="Arial" w:ascii="Arial" w:hAnsi="Arial"/>
          <w:sz w:val="22"/>
        </w:rPr>
      </w:r>
    </w:p>
    <w:p>
      <w:pPr>
        <w:pStyle w:val="Normal"/>
        <w:tabs>
          <w:tab w:val="clear" w:pos="720"/>
          <w:tab w:val="left" w:pos="4410" w:leader="none"/>
        </w:tabs>
        <w:rPr>
          <w:rFonts w:ascii="Arial" w:hAnsi="Arial" w:cs="Arial"/>
          <w:sz w:val="22"/>
        </w:rPr>
      </w:pPr>
      <w:r>
        <w:rPr>
          <w:rFonts w:cs="Arial" w:ascii="Arial" w:hAnsi="Arial"/>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18"/>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tabs>
        <w:tab w:val="clear" w:pos="720"/>
        <w:tab w:val="left" w:pos="6476" w:leader="none"/>
        <w:tab w:val="left" w:pos="7932" w:leader="none"/>
        <w:tab w:val="left" w:pos="9388" w:leader="none"/>
      </w:tabs>
      <w:ind w:hanging="0" w:start="30" w:end="0"/>
      <w:outlineLvl w:val="2"/>
    </w:pPr>
    <w:rPr>
      <w:rFonts w:ascii="Arial" w:hAnsi="Arial" w:cs="Arial"/>
      <w:b/>
      <w:sz w:val="22"/>
    </w:rPr>
  </w:style>
  <w:style w:type="paragraph" w:styleId="Heading4">
    <w:name w:val="heading 4"/>
    <w:basedOn w:val="Normal"/>
    <w:next w:val="Normal"/>
    <w:qFormat/>
    <w:pPr>
      <w:keepNext w:val="true"/>
      <w:numPr>
        <w:ilvl w:val="3"/>
        <w:numId w:val="1"/>
      </w:numPr>
      <w:jc w:val="end"/>
      <w:outlineLvl w:val="3"/>
    </w:pPr>
    <w:rPr>
      <w:rFonts w:ascii="Arial" w:hAnsi="Arial" w:cs="Arial"/>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Typewriter">
    <w:name w:val="Typewriter"/>
    <w:qFormat/>
    <w:rPr>
      <w:rFonts w:ascii="Courier New" w:hAnsi="Courier New" w:cs="Courier New"/>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image" Target="http://chart.yahoo.com/c/bb/c/c.gif" TargetMode="External"/><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image" Target="http://chart.yahoo.com/c/bb/j/jpm.gif" TargetMode="External"/><Relationship Id="rId8" Type="http://schemas.openxmlformats.org/officeDocument/2006/relationships/image" Target="http://chart.yahoo.com/c/bb/c/cmb.gif" TargetMode="External"/><Relationship Id="rId9" Type="http://schemas.openxmlformats.org/officeDocument/2006/relationships/image" Target="http://chart.yahoo.com/c/bb/t/t.gif" TargetMode="External"/><Relationship Id="rId10" Type="http://schemas.openxmlformats.org/officeDocument/2006/relationships/image" Target="http://chart.yahoo.com/c/bb/u/u.gif" TargetMode="External"/><Relationship Id="rId11" Type="http://schemas.openxmlformats.org/officeDocument/2006/relationships/image" Target="http://chart.yahoo.com/c/bb/l/leh.gif" TargetMode="External"/><Relationship Id="rId12" Type="http://schemas.openxmlformats.org/officeDocument/2006/relationships/image" Target="http://chart.yahoo.com/c/bb/p/pha.gif" TargetMode="External"/><Relationship Id="rId13" Type="http://schemas.openxmlformats.org/officeDocument/2006/relationships/image" Target="http://chart.yahoo.com/c/bb/v/vto.gif" TargetMode="External"/><Relationship Id="rId14" Type="http://schemas.openxmlformats.org/officeDocument/2006/relationships/image" Target="http://chart.yahoo.com/c/bb/v/vai.gif"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2000-08-21T15:39:00Z</dcterms:created>
  <dc:creator>joseantonio_aguilar</dc:creator>
  <dc:description/>
  <dc:language>en-CA</dc:language>
  <cp:lastModifiedBy>joseantonio_aguilar</cp:lastModifiedBy>
  <cp:lastPrinted>2000-08-21T14:25:00Z</cp:lastPrinted>
  <dcterms:modified xsi:type="dcterms:W3CDTF">2000-08-21T18:26:00Z</dcterms:modified>
  <cp:revision>22</cp:revision>
  <dc:subject/>
  <dc:title>Citigroup</dc:title>
</cp:coreProperties>
</file>