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ddress"/>
        <w:spacing w:before="0" w:after="0"/>
        <w:rPr/>
      </w:pPr>
      <w:bookmarkStart w:id="0" w:name="InsideAddress"/>
      <w:r>
        <w:rPr/>
        <w:t>Alvin Alexanderson</w:t>
      </w:r>
    </w:p>
    <w:p>
      <w:pPr>
        <w:pStyle w:val="Address"/>
        <w:spacing w:before="0" w:after="0"/>
        <w:rPr/>
      </w:pPr>
      <w:bookmarkStart w:id="1" w:name="InsideAddress"/>
      <w:r>
        <w:rPr/>
        <w:t>Portland General Electric Company</w:t>
      </w:r>
      <w:bookmarkEnd w:id="1"/>
    </w:p>
    <w:p>
      <w:pPr>
        <w:pStyle w:val="Address"/>
        <w:spacing w:before="0" w:after="0"/>
        <w:rPr/>
      </w:pPr>
      <w:r>
        <w:rPr/>
        <w:t>One World Trade Center</w:t>
      </w:r>
    </w:p>
    <w:p>
      <w:pPr>
        <w:pStyle w:val="Address"/>
        <w:spacing w:before="0" w:after="0"/>
        <w:rPr/>
      </w:pPr>
      <w:r>
        <w:rPr/>
        <w:t>121 SW Salmon Street</w:t>
      </w:r>
    </w:p>
    <w:p>
      <w:pPr>
        <w:pStyle w:val="Address"/>
        <w:spacing w:before="0" w:after="0"/>
        <w:rPr/>
      </w:pPr>
      <w:r>
        <w:rPr/>
        <w:t>Portland, OR  97204</w:t>
      </w:r>
    </w:p>
    <w:p>
      <w:pPr>
        <w:pStyle w:val="Address"/>
        <w:spacing w:before="0" w:after="0"/>
        <w:rPr/>
      </w:pPr>
      <w:r>
        <w:rPr/>
      </w:r>
    </w:p>
    <w:p>
      <w:pPr>
        <w:pStyle w:val="Regarding"/>
        <w:tabs>
          <w:tab w:val="clear" w:pos="720"/>
          <w:tab w:val="left" w:pos="0" w:leader="none"/>
        </w:tabs>
        <w:ind w:hanging="0" w:start="0" w:end="720"/>
        <w:rPr/>
      </w:pPr>
      <w:r>
        <w:rPr/>
        <w:t>Re:</w:t>
        <w:tab/>
        <w:t>California Electricity Market Investigations and Potential Litigation</w:t>
      </w:r>
    </w:p>
    <w:p>
      <w:pPr>
        <w:pStyle w:val="Salutation"/>
        <w:rPr/>
      </w:pPr>
      <w:bookmarkStart w:id="2" w:name="Salutation"/>
      <w:r>
        <w:rPr/>
        <w:t xml:space="preserve">Dear </w:t>
      </w:r>
      <w:bookmarkEnd w:id="2"/>
      <w:r>
        <w:rPr/>
        <w:t>Alvin:</w:t>
      </w:r>
    </w:p>
    <w:p>
      <w:pPr>
        <w:pStyle w:val="BodyText"/>
        <w:ind w:firstLine="810" w:end="0"/>
        <w:rPr/>
      </w:pPr>
      <w:bookmarkStart w:id="3" w:name="BodyStart"/>
      <w:bookmarkEnd w:id="3"/>
      <w:r>
        <w:rPr/>
        <w:t>We are pleased that Portland General Electric Company (“PGE”) has asked us to perform an audit of  the trading practices of PGE concerning the above-referenced investigations (the “Subject Matters”).  As you know, we are representing Enron Corporation, Enron Power Marketing Incorporated, Enron North America, Enron Energy Services, and other related Enron entities (“Enron Entities”) in connection with the same above-referenced investigations and litigation.  PGE is currently part of the Enron corporate family, but may at some point in the future be sold.  We presently anticipate that we will be representing both PGE, as described above, and the other Enron Entities in the above-referenced matters until such point that PGE is no longer part of the Enron Corporate family.</w:t>
      </w:r>
    </w:p>
    <w:p>
      <w:pPr>
        <w:pStyle w:val="BodyText"/>
        <w:ind w:firstLine="810" w:end="0"/>
        <w:rPr/>
      </w:pPr>
      <w:r>
        <w:rPr/>
        <w:t>Based on the information that has been provided to us, we do not believe that our representation currently involves any actual conflict of interest.  You should be aware, however, that our representation at some point in the future may involve actual conflicts of interests if the interests of the Enron Entities become inconsistent with your interests.  Should that occur, we will endeavor to apprise you promptly of any such conflict so that you can decide whether you wish to obtain independent counsel.</w:t>
      </w:r>
    </w:p>
    <w:p>
      <w:pPr>
        <w:pStyle w:val="BodyText"/>
        <w:ind w:firstLine="810" w:end="0"/>
        <w:rPr/>
      </w:pPr>
      <w:r>
        <w:rPr/>
        <w:t>Multiple representation may result in economic or tactical advantages.  You should be aware, however, that multiple representation also involves significant risks.  First, multiple representation may result in divided or at least shared attorney-client loyalties.  Although we are not currently aware of any actual or reasonably foreseeable adverse effects of such divided or shared loyalty, it is possible that issues may arise as to which our representation of you may be materially limited by our representation of the Enron Entities.</w:t>
      </w:r>
    </w:p>
    <w:p>
      <w:pPr>
        <w:pStyle w:val="BodyText"/>
        <w:ind w:firstLine="810" w:end="0"/>
        <w:rPr/>
      </w:pPr>
      <w:r>
        <w:rPr/>
        <w:t>Furthermore, because we will be jointly retained by both you and the Enron Entities in this matter, in the event of a dispute between you and the Enron Entities, the attorney-client privilege generally will not protect communications that have taken place among all of you and attorneys in our firm.  Moreover, pursuant to this ‘Joint Client’ arrangement, anything you disclose to us may be disclosed to any of the other jointly represented clients, consistent with regulatory limitations on discussions between related entities.</w:t>
      </w:r>
    </w:p>
    <w:p>
      <w:pPr>
        <w:pStyle w:val="BodyText"/>
        <w:ind w:firstLine="810" w:end="0"/>
        <w:rPr/>
      </w:pPr>
      <w:r>
        <w:rPr/>
        <w:t xml:space="preserve">In the event of a dispute or conflict between you and the Enron Entities, there is a risk that we may be disqualified from representing all of you absent written consent from all of you at that time.  We anticipate that if such a conflict or dispute were to arise, we would continue to represent the Enron Entities (the “Continuing Clients”), whose legal interest in this matter are aligned, notwithstanding any adversity between you and the interests of the Continuing Clients.  </w:t>
      </w:r>
      <w:r>
        <w:rPr>
          <w:rStyle w:val="Underline"/>
        </w:rPr>
        <w:t>Accordingly, we are now asking that you consent to our continued and future representation of any one or more of the Continuing Clients and that you agree not to assert any such conflict of interest or to seek to disqualify us from representing any one or more of the Continuing Clients, notwithstanding any adversity that may develop</w:t>
      </w:r>
      <w:r>
        <w:rPr/>
        <w:t>.  By signing and returning to us the agreement and consent set forth at the end of this letter, you will consent to such arrangement and waive any conflicts regarding that arrangement.  Notwithstanding such waiver and consent, depending on the circumstances, there remains some degree of risk that we would be disqualified from representing any of you in the event of a dispute.</w:t>
      </w:r>
    </w:p>
    <w:p>
      <w:pPr>
        <w:pStyle w:val="BodyText"/>
        <w:ind w:firstLine="810" w:end="0"/>
        <w:rPr/>
      </w:pPr>
      <w:r>
        <w:rPr/>
        <w:t>Notwithstanding these risks, you have advised us that in this matter at the present time you do not desire to seek other counsel but instead you desire that we represent multiple interests of yourself and the Enron Entities.  Because the interests of the Enron Entities may become inconsistent with your interest, under the applicable ethical standards we may be required to bring this matter to your attention and to obtain your consent, before representing you in the matter described above.</w:t>
      </w:r>
    </w:p>
    <w:p>
      <w:pPr>
        <w:pStyle w:val="BodyText"/>
        <w:ind w:firstLine="810" w:end="0"/>
        <w:rPr/>
      </w:pPr>
      <w:r>
        <w:rPr/>
        <w:t>Accordingly, we request that you signify your informed written consent by signing and returning this letter to us.  We encourage you to seek independent counsel regarding the import of this consent, if you so desire, and we emphasize that you remain completely free to seek independent counsel at any time even if you decide to sign the consent set forth below.</w:t>
      </w:r>
    </w:p>
    <w:p>
      <w:pPr>
        <w:pStyle w:val="Closing"/>
        <w:keepLines/>
        <w:ind w:hanging="4680" w:end="0"/>
        <w:rPr/>
      </w:pPr>
      <w:r>
        <w:rPr/>
        <w:t>Sincerely,</w:t>
      </w:r>
    </w:p>
    <w:p>
      <w:pPr>
        <w:pStyle w:val="ByLine"/>
        <w:keepLines/>
        <w:spacing w:before="240" w:after="0"/>
        <w:ind w:hanging="4680" w:end="0"/>
        <w:rPr/>
      </w:pPr>
      <w:r>
        <w:rPr/>
        <w:t>By:</w:t>
      </w:r>
      <w:r>
        <w:rPr>
          <w:u w:val="single"/>
        </w:rPr>
        <w:tab/>
        <w:tab/>
      </w:r>
    </w:p>
    <w:p>
      <w:pPr>
        <w:pStyle w:val="SignatureName"/>
        <w:keepLines/>
        <w:spacing w:before="0" w:after="240"/>
        <w:ind w:start="360" w:end="0"/>
        <w:rPr/>
      </w:pPr>
      <w:r>
        <w:rPr/>
        <w:t>Gary S. Fergus</w:t>
      </w:r>
    </w:p>
    <w:p>
      <w:pPr>
        <w:pStyle w:val="Address"/>
        <w:rPr/>
      </w:pPr>
      <w:r>
        <w:rPr/>
        <w:t>Enclosure</w:t>
      </w:r>
    </w:p>
    <w:p>
      <w:pPr>
        <w:pStyle w:val="Address"/>
        <w:rPr/>
      </w:pPr>
      <w:r>
        <w:rPr/>
        <w:t>Acknowledged and consent granted.</w:t>
      </w:r>
    </w:p>
    <w:p>
      <w:pPr>
        <w:pStyle w:val="Address"/>
        <w:rPr/>
      </w:pPr>
      <w:r>
        <w:rPr/>
        <w:t>Portland General , on behalf of itself</w:t>
        <w:br/>
        <w:t>and its affiliates</w:t>
      </w:r>
    </w:p>
    <w:p>
      <w:pPr>
        <w:pStyle w:val="Normal"/>
        <w:rPr/>
      </w:pPr>
      <w:r>
        <w:rPr/>
        <w:t>By:</w:t>
      </w:r>
      <w:r>
        <w:rPr>
          <w:u w:val="single"/>
        </w:rPr>
        <w:tab/>
        <w:tab/>
        <w:tab/>
        <w:tab/>
        <w:tab/>
        <w:tab/>
        <w:tab/>
      </w:r>
    </w:p>
    <w:sectPr>
      <w:headerReference w:type="default" r:id="rId2"/>
      <w:headerReference w:type="first" r:id="rId3"/>
      <w:footerReference w:type="default" r:id="rId4"/>
      <w:footerReference w:type="first" r:id="rId5"/>
      <w:type w:val="nextPage"/>
      <w:pgSz w:w="12240" w:h="15840"/>
      <w:pgMar w:left="1440" w:right="1440" w:gutter="0" w:header="1152"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ID"/>
      <w:rPr>
        <w:vanish/>
      </w:rPr>
    </w:pPr>
    <w:r>
      <w:rPr>
        <w:vanish/>
      </w:rPr>
      <w:fldChar w:fldCharType="begin"/>
    </w:r>
    <w:r>
      <w:rPr>
        <w:vanish/>
      </w:rPr>
      <w:instrText xml:space="preserve"> DOCPROPERTY "Doc No."</w:instrText>
    </w:r>
    <w:r>
      <w:rPr>
        <w:vanish/>
      </w:rPr>
      <w:fldChar w:fldCharType="separate"/>
    </w:r>
    <w:r>
      <w:rPr>
        <w:vanish/>
      </w:rPr>
      <w:t>SFRLIB1\GSF\5496271.01(39SY701!.DOC)</w:t>
    </w:r>
    <w:r>
      <w:rPr>
        <w:vanish/>
      </w:rPr>
      <w:fldChar w:fldCharType="end"/>
    </w:r>
  </w:p>
  <w:p>
    <w:pPr>
      <w:pStyle w:val="FooterID"/>
      <w:rPr>
        <w:vanish/>
      </w:rPr>
    </w:pPr>
    <w:r>
      <w:rPr>
        <w:vanish/>
      </w:rPr>
      <w:fldChar w:fldCharType="begin"/>
    </w:r>
    <w:r>
      <w:rPr>
        <w:vanish/>
      </w:rPr>
      <w:instrText xml:space="preserve"> DOCPROPERTY "date"</w:instrText>
    </w:r>
    <w:r>
      <w:rPr>
        <w:vanish/>
      </w:rPr>
      <w:fldChar w:fldCharType="separate"/>
    </w:r>
    <w:r>
      <w:rPr>
        <w:vanish/>
      </w:rPr>
      <w:t xml:space="preserve"> </w:t>
    </w:r>
    <w:r>
      <w:rPr>
        <w:vanish/>
      </w:rPr>
      <w:fldChar w:fldCharType="end"/>
    </w:r>
  </w:p>
  <w:p>
    <w:pPr>
      <w:pStyle w:val="FooterI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IDLetter"/>
      <w:rPr>
        <w:vanish/>
      </w:rPr>
    </w:pPr>
    <w:r>
      <w:rPr>
        <w:vanish/>
      </w:rPr>
      <w:fldChar w:fldCharType="begin"/>
    </w:r>
    <w:r>
      <w:rPr>
        <w:vanish/>
      </w:rPr>
      <w:instrText xml:space="preserve"> DOCPROPERTY "Doc No."</w:instrText>
    </w:r>
    <w:r>
      <w:rPr>
        <w:vanish/>
      </w:rPr>
      <w:fldChar w:fldCharType="separate"/>
    </w:r>
    <w:r>
      <w:rPr>
        <w:vanish/>
      </w:rPr>
      <w:t>SFRLIB1\GSF\5496271.01(39SY701!.DOC)</w:t>
    </w:r>
    <w:r>
      <w:rPr>
        <w:vanish/>
      </w:rPr>
      <w:fldChar w:fldCharType="end"/>
    </w:r>
  </w:p>
  <w:p>
    <w:pPr>
      <w:pStyle w:val="FooterIDLetter"/>
      <w:rPr/>
    </w:pPr>
    <w:r>
      <w:rPr/>
      <w:fldChar w:fldCharType="begin"/>
    </w:r>
    <w:r>
      <w:rPr/>
      <w:instrText xml:space="preserve"> DOCPROPERTY "date"</w:instrText>
    </w:r>
    <w:r>
      <w:rPr/>
      <w:fldChar w:fldCharType="separate"/>
    </w:r>
    <w:r>
      <w:rPr/>
      <w:t xml:space="preserve"> </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00" w:hRule="atLeast"/>
      </w:trPr>
      <w:tc>
        <w:tcPr>
          <w:tcW w:w="4788" w:type="dxa"/>
          <w:tcBorders/>
        </w:tcPr>
        <w:p>
          <w:pPr>
            <w:pStyle w:val="Header"/>
            <w:tabs>
              <w:tab w:val="clear" w:pos="4680"/>
              <w:tab w:val="clear" w:pos="9360"/>
            </w:tabs>
            <w:snapToGrid w:val="false"/>
            <w:rPr>
              <w:rStyle w:val="Letterhead"/>
            </w:rPr>
          </w:pPr>
          <w:r>
            <w:rPr/>
          </w:r>
        </w:p>
      </w:tc>
      <w:tc>
        <w:tcPr>
          <w:tcW w:w="4788" w:type="dxa"/>
          <w:tcBorders/>
        </w:tcPr>
        <w:p>
          <w:pPr>
            <w:pStyle w:val="Header"/>
            <w:tabs>
              <w:tab w:val="clear" w:pos="4680"/>
              <w:tab w:val="clear" w:pos="9360"/>
            </w:tabs>
            <w:snapToGrid w:val="false"/>
            <w:rPr>
              <w:rStyle w:val="Letterhead"/>
            </w:rPr>
          </w:pPr>
          <w:r>
            <w:rPr/>
          </w:r>
        </w:p>
      </w:tc>
    </w:tr>
    <w:tr>
      <w:trPr>
        <w:trHeight w:val="69" w:hRule="atLeast"/>
      </w:trPr>
      <w:tc>
        <w:tcPr>
          <w:tcW w:w="4788" w:type="dxa"/>
          <w:tcBorders/>
        </w:tcPr>
        <w:p>
          <w:pPr>
            <w:pStyle w:val="Header"/>
            <w:tabs>
              <w:tab w:val="clear" w:pos="4680"/>
              <w:tab w:val="clear" w:pos="9360"/>
            </w:tabs>
            <w:rPr/>
          </w:pPr>
          <w:r>
            <w:rPr>
              <w:rStyle w:val="ltrDate"/>
            </w:rPr>
            <w:t>April 16, 2001</w:t>
          </w:r>
        </w:p>
      </w:tc>
      <w:tc>
        <w:tcPr>
          <w:tcW w:w="4788" w:type="dxa"/>
          <w:vMerge w:val="restart"/>
          <w:tcBorders/>
        </w:tcPr>
        <w:p>
          <w:pPr>
            <w:pStyle w:val="Header"/>
            <w:tabs>
              <w:tab w:val="clear" w:pos="4680"/>
              <w:tab w:val="clear" w:pos="9360"/>
            </w:tabs>
            <w:spacing w:lineRule="exact" w:line="240"/>
            <w:jc w:val="end"/>
            <w:rPr/>
          </w:pPr>
          <w:r>
            <w:rPr>
              <w:rStyle w:val="Letterhead"/>
            </w:rPr>
            <w:t xml:space="preserve">Brobeck, Phleger &amp; Harrison </w:t>
          </w:r>
          <w:r>
            <w:rPr>
              <w:rStyle w:val="Letterhead"/>
              <w:rFonts w:cs="Arial" w:ascii="Arial" w:hAnsi="Arial"/>
              <w:caps w:val="false"/>
              <w:smallCaps w:val="false"/>
              <w:spacing w:val="0"/>
            </w:rPr>
            <w:t>LLP</w:t>
          </w:r>
          <w:r>
            <w:rPr>
              <w:rStyle w:val="Letterhead"/>
            </w:rPr>
            <w:br/>
            <w:t>One Market, Spear Street Tower</w:t>
            <w:br/>
            <w:t>San Francisco, California  94105</w:t>
            <w:br/>
          </w:r>
          <w:r>
            <w:rPr>
              <w:rStyle w:val="Letterhead"/>
              <w:rFonts w:cs="Arial" w:ascii="Arial" w:hAnsi="Arial"/>
              <w:caps w:val="false"/>
              <w:smallCaps w:val="false"/>
              <w:spacing w:val="0"/>
            </w:rPr>
            <w:t>direct</w:t>
          </w:r>
          <w:r>
            <w:rPr>
              <w:rStyle w:val="Letterhead"/>
            </w:rPr>
            <w:t xml:space="preserve">   415.442-1284</w:t>
            <w:br/>
            <w:t xml:space="preserve">    </w:t>
          </w:r>
          <w:r>
            <w:rPr>
              <w:rStyle w:val="Letterhead"/>
              <w:rFonts w:cs="Arial" w:ascii="Arial" w:hAnsi="Arial"/>
              <w:caps w:val="false"/>
              <w:smallCaps w:val="false"/>
              <w:spacing w:val="0"/>
            </w:rPr>
            <w:t>fax</w:t>
          </w:r>
          <w:r>
            <w:rPr>
              <w:rStyle w:val="Letterhead"/>
            </w:rPr>
            <w:t xml:space="preserve">   415.442.1010</w:t>
            <w:br/>
            <w:t>@brobeck.com</w:t>
            <w:br/>
            <w:t xml:space="preserve"> www.brobeck.com</w:t>
          </w:r>
        </w:p>
      </w:tc>
    </w:tr>
    <w:tr>
      <w:trPr>
        <w:trHeight w:val="67" w:hRule="atLeast"/>
      </w:trPr>
      <w:tc>
        <w:tcPr>
          <w:tcW w:w="4788" w:type="dxa"/>
          <w:tcBorders/>
        </w:tcPr>
        <w:p>
          <w:pPr>
            <w:pStyle w:val="Header"/>
            <w:tabs>
              <w:tab w:val="clear" w:pos="4680"/>
              <w:tab w:val="clear" w:pos="9360"/>
            </w:tabs>
            <w:snapToGrid w:val="false"/>
            <w:rPr>
              <w:rStyle w:val="Letterhead"/>
              <w:rFonts w:ascii="Times New Roman" w:hAnsi="Times New Roman" w:cs="Times New Roman"/>
              <w:sz w:val="24"/>
            </w:rPr>
          </w:pPr>
          <w:r>
            <w:rPr/>
          </w:r>
        </w:p>
      </w:tc>
      <w:tc>
        <w:tcPr>
          <w:tcW w:w="4788" w:type="dxa"/>
          <w:vMerge w:val="continue"/>
          <w:tcBorders/>
        </w:tcPr>
        <w:p>
          <w:pPr>
            <w:pStyle w:val="Header"/>
            <w:tabs>
              <w:tab w:val="clear" w:pos="4680"/>
              <w:tab w:val="clear" w:pos="9360"/>
            </w:tabs>
            <w:snapToGrid w:val="false"/>
            <w:rPr>
              <w:rStyle w:val="Letterhead"/>
            </w:rPr>
          </w:pPr>
          <w:r>
            <w:rPr/>
          </w:r>
        </w:p>
      </w:tc>
    </w:tr>
    <w:tr>
      <w:trPr>
        <w:trHeight w:val="67" w:hRule="atLeast"/>
      </w:trPr>
      <w:tc>
        <w:tcPr>
          <w:tcW w:w="4788" w:type="dxa"/>
          <w:tcBorders/>
        </w:tcPr>
        <w:p>
          <w:pPr>
            <w:pStyle w:val="Header"/>
            <w:tabs>
              <w:tab w:val="clear" w:pos="4680"/>
              <w:tab w:val="clear" w:pos="9360"/>
            </w:tabs>
            <w:snapToGrid w:val="false"/>
            <w:rPr>
              <w:rStyle w:val="ltrStamp"/>
              <w:caps/>
            </w:rPr>
          </w:pPr>
          <w:r>
            <w:rPr/>
          </w:r>
          <w:bookmarkStart w:id="4" w:name="Via"/>
          <w:bookmarkStart w:id="5" w:name="Via"/>
          <w:bookmarkEnd w:id="5"/>
        </w:p>
      </w:tc>
      <w:tc>
        <w:tcPr>
          <w:tcW w:w="4788" w:type="dxa"/>
          <w:vMerge w:val="continue"/>
          <w:tcBorders/>
        </w:tcPr>
        <w:p>
          <w:pPr>
            <w:pStyle w:val="Header"/>
            <w:tabs>
              <w:tab w:val="clear" w:pos="4680"/>
              <w:tab w:val="clear" w:pos="9360"/>
            </w:tabs>
            <w:snapToGrid w:val="false"/>
            <w:rPr>
              <w:rStyle w:val="Letterhead"/>
            </w:rPr>
          </w:pPr>
          <w:r>
            <w:rPr/>
          </w:r>
        </w:p>
      </w:tc>
    </w:tr>
    <w:tr>
      <w:trPr>
        <w:trHeight w:val="67" w:hRule="atLeast"/>
      </w:trPr>
      <w:tc>
        <w:tcPr>
          <w:tcW w:w="4788" w:type="dxa"/>
          <w:tcBorders/>
        </w:tcPr>
        <w:p>
          <w:pPr>
            <w:pStyle w:val="Header"/>
            <w:tabs>
              <w:tab w:val="clear" w:pos="4680"/>
              <w:tab w:val="clear" w:pos="9360"/>
            </w:tabs>
            <w:snapToGrid w:val="false"/>
            <w:rPr>
              <w:rStyle w:val="ltrStamp"/>
            </w:rPr>
          </w:pPr>
          <w:r>
            <w:rPr/>
          </w:r>
          <w:bookmarkStart w:id="6" w:name="Stamps"/>
          <w:bookmarkStart w:id="7" w:name="Stamps"/>
          <w:bookmarkEnd w:id="7"/>
        </w:p>
      </w:tc>
      <w:tc>
        <w:tcPr>
          <w:tcW w:w="4788" w:type="dxa"/>
          <w:vMerge w:val="continue"/>
          <w:tcBorders/>
        </w:tcPr>
        <w:p>
          <w:pPr>
            <w:pStyle w:val="Header"/>
            <w:tabs>
              <w:tab w:val="clear" w:pos="4680"/>
              <w:tab w:val="clear" w:pos="9360"/>
            </w:tabs>
            <w:snapToGrid w:val="false"/>
            <w:rPr>
              <w:rStyle w:val="Letterhead"/>
            </w:rPr>
          </w:pPr>
          <w:r>
            <w:rPr/>
          </w:r>
        </w:p>
      </w:tc>
    </w:tr>
  </w:tbl>
  <w:p>
    <w:pPr>
      <w:pStyle w:val="Header"/>
      <w:rPr>
        <w:rStyle w:val="Letterhea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rFonts w:ascii="Garamond" w:hAnsi="Garamond" w:cs="Garamond"/>
      <w:smallCaps/>
      <w:spacing w:val="10"/>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mphasis">
    <w:name w:val="Emphasis"/>
    <w:basedOn w:val="DefaultParagraphFont"/>
    <w:qFormat/>
    <w:rPr>
      <w:b/>
    </w:rPr>
  </w:style>
  <w:style w:type="character" w:styleId="Underline">
    <w:name w:val="Underline"/>
    <w:basedOn w:val="DefaultParagraphFont"/>
    <w:qFormat/>
    <w:rPr>
      <w:u w:val="single"/>
    </w:rPr>
  </w:style>
  <w:style w:type="character" w:styleId="ltrDate">
    <w:name w:val="ltrDate"/>
    <w:basedOn w:val="Letterhead"/>
    <w:qFormat/>
    <w:rPr>
      <w:rFonts w:ascii="Times New Roman" w:hAnsi="Times New Roman" w:cs="Times New Roman"/>
      <w:spacing w:val="0"/>
      <w:sz w:val="24"/>
    </w:rPr>
  </w:style>
  <w:style w:type="character" w:styleId="ltrStamp">
    <w:name w:val="ltrStamp"/>
    <w:basedOn w:val="Letterhead"/>
    <w:qFormat/>
    <w:rPr>
      <w:rFonts w:ascii="Times New Roman" w:hAnsi="Times New Roman" w:cs="Times New Roman"/>
      <w:b/>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8">
    <w:name w:val="toc 8"/>
    <w:basedOn w:val="Normal"/>
    <w:next w:val="Normal"/>
    <w:pPr>
      <w:ind w:hanging="0" w:start="5040" w:end="720"/>
    </w:pPr>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1">
    <w:name w:val="toc 1"/>
    <w:basedOn w:val="Normal"/>
    <w:next w:val="Normal"/>
    <w:pPr>
      <w:spacing w:before="0" w:after="240"/>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60"/>
    </w:pPr>
    <w:rPr>
      <w:rFonts w:ascii="Garamond" w:hAnsi="Garamond" w:cs="Garamond"/>
      <w:sz w:val="14"/>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1080" w:leader="none"/>
      </w:tabs>
      <w:ind w:firstLine="720" w:start="0" w:end="0"/>
    </w:pPr>
    <w:rPr/>
  </w:style>
  <w:style w:type="paragraph" w:styleId="Closing">
    <w:name w:val="Closing"/>
    <w:basedOn w:val="Normal"/>
    <w:qFormat/>
    <w:pPr>
      <w:keepNext w:val="true"/>
      <w:spacing w:before="0" w:after="240"/>
      <w:ind w:hanging="0" w:start="4680" w:end="0"/>
    </w:pPr>
    <w:rPr/>
  </w:style>
  <w:style w:type="paragraph" w:styleId="Signature">
    <w:name w:val="Signature"/>
    <w:basedOn w:val="Closing"/>
    <w:next w:val="Normal"/>
    <w:pPr>
      <w:spacing w:before="480" w:after="480"/>
    </w:pPr>
    <w:rPr/>
  </w:style>
  <w:style w:type="paragraph" w:styleId="SignatureName">
    <w:name w:val="Signature Name"/>
    <w:basedOn w:val="Closing"/>
    <w:next w:val="Normal"/>
    <w:qFormat/>
    <w:pPr>
      <w:spacing w:before="0" w:after="480"/>
      <w:ind w:hanging="0" w:start="5040" w:end="0"/>
    </w:pPr>
    <w:rPr/>
  </w:style>
  <w:style w:type="paragraph" w:styleId="EnvelopeReturn">
    <w:name w:val="envelope return"/>
    <w:basedOn w:val="Normal"/>
    <w:pPr/>
    <w:rPr/>
  </w:style>
  <w:style w:type="paragraph" w:styleId="Regarding">
    <w:name w:val="Regarding"/>
    <w:qFormat/>
    <w:pPr>
      <w:widowControl/>
      <w:bidi w:val="0"/>
      <w:spacing w:before="0" w:after="240"/>
      <w:ind w:hanging="720" w:start="2160" w:end="720"/>
    </w:pPr>
    <w:rPr>
      <w:rFonts w:ascii="Times New Roman" w:hAnsi="Times New Roman" w:eastAsia="Times New Roman" w:cs="Times New Roman"/>
      <w:color w:val="auto"/>
      <w:sz w:val="24"/>
      <w:szCs w:val="20"/>
      <w:lang w:val="en-US" w:eastAsia="zh-CN" w:bidi="hi-IN"/>
    </w:rPr>
  </w:style>
  <w:style w:type="paragraph" w:styleId="Date">
    <w:name w:val="Date"/>
    <w:basedOn w:val="Normal"/>
    <w:next w:val="Normal"/>
    <w:qFormat/>
    <w:pPr>
      <w:spacing w:before="0" w:after="480"/>
      <w:jc w:val="center"/>
    </w:pPr>
    <w:rPr/>
  </w:style>
  <w:style w:type="paragraph" w:styleId="Salutation">
    <w:name w:val="Salutation"/>
    <w:basedOn w:val="Normal"/>
    <w:next w:val="Normal"/>
    <w:qFormat/>
    <w:pPr>
      <w:spacing w:before="0" w:after="240"/>
    </w:pPr>
    <w:rPr/>
  </w:style>
  <w:style w:type="paragraph" w:styleId="QuoteSingleSpaced">
    <w:name w:val="Quote Single Spaced"/>
    <w:basedOn w:val="Normal"/>
    <w:next w:val="BodyText"/>
    <w:qFormat/>
    <w:pPr>
      <w:spacing w:before="0" w:after="240"/>
      <w:ind w:hanging="0" w:start="1440" w:end="1440"/>
    </w:pPr>
    <w:rPr/>
  </w:style>
  <w:style w:type="paragraph" w:styleId="QuoteDoubleSpaced">
    <w:name w:val="Quote Double Spaced"/>
    <w:basedOn w:val="QuoteSingleSpaced"/>
    <w:qFormat/>
    <w:pPr>
      <w:spacing w:lineRule="auto" w:line="480" w:before="0" w:after="0"/>
    </w:pPr>
    <w:rPr/>
  </w:style>
  <w:style w:type="paragraph" w:styleId="bcc">
    <w:name w:val="bcc"/>
    <w:basedOn w:val="Normal"/>
    <w:qFormat/>
    <w:pPr>
      <w:pageBreakBefore/>
    </w:pPr>
    <w:rPr/>
  </w:style>
  <w:style w:type="paragraph" w:styleId="PlainText">
    <w:name w:val="Plain Text"/>
    <w:basedOn w:val="Normal"/>
    <w:qFormat/>
    <w:pPr/>
    <w:rPr>
      <w:rFonts w:ascii="Courier New" w:hAnsi="Courier New" w:cs="Courier New"/>
      <w:sz w:val="20"/>
    </w:rPr>
  </w:style>
  <w:style w:type="paragraph" w:styleId="Address">
    <w:name w:val="Address"/>
    <w:basedOn w:val="Salutation"/>
    <w:qFormat/>
    <w:pPr/>
    <w:rPr/>
  </w:style>
  <w:style w:type="paragraph" w:styleId="CenteredHeading">
    <w:name w:val="Centered Heading"/>
    <w:basedOn w:val="Normal"/>
    <w:next w:val="BodyText"/>
    <w:qFormat/>
    <w:pPr>
      <w:widowControl w:val="false"/>
      <w:spacing w:before="0" w:after="240"/>
      <w:jc w:val="center"/>
    </w:pPr>
    <w:rPr/>
  </w:style>
  <w:style w:type="paragraph" w:styleId="ClosingFirmName">
    <w:name w:val="ClosingFirmName"/>
    <w:basedOn w:val="Signature"/>
    <w:qFormat/>
    <w:pPr>
      <w:keepNext w:val="true"/>
      <w:spacing w:before="480" w:after="960"/>
    </w:pPr>
    <w:rPr/>
  </w:style>
  <w:style w:type="paragraph" w:styleId="Discovery">
    <w:name w:val="Discovery"/>
    <w:basedOn w:val="Normal"/>
    <w:next w:val="BodyText"/>
    <w:qFormat/>
    <w:pPr>
      <w:widowControl w:val="false"/>
      <w:spacing w:lineRule="exact" w:line="480"/>
    </w:pPr>
    <w:rPr>
      <w:b/>
      <w:caps/>
    </w:rPr>
  </w:style>
  <w:style w:type="paragraph" w:styleId="LeftHeading">
    <w:name w:val="Left Heading"/>
    <w:basedOn w:val="BodyText"/>
    <w:next w:val="BodyText"/>
    <w:qFormat/>
    <w:pPr>
      <w:widowControl w:val="false"/>
      <w:ind w:hanging="0" w:start="0" w:end="0"/>
    </w:pPr>
    <w:rPr/>
  </w:style>
  <w:style w:type="paragraph" w:styleId="FooterID">
    <w:name w:val="Footer ID"/>
    <w:basedOn w:val="Footer"/>
    <w:qFormat/>
    <w:pPr>
      <w:spacing w:before="0" w:after="0"/>
    </w:pPr>
    <w:rPr>
      <w:rFonts w:ascii="Times New Roman" w:hAnsi="Times New Roman" w:cs="Times New Roman"/>
      <w:caps/>
      <w:sz w:val="12"/>
    </w:rPr>
  </w:style>
  <w:style w:type="paragraph" w:styleId="ltr">
    <w:name w:val="ltr"/>
    <w:basedOn w:val="Normal"/>
    <w:qFormat/>
    <w:pPr/>
    <w:rPr>
      <w:rFonts w:ascii="Garamond" w:hAnsi="Garamond" w:cs="Garamond"/>
      <w:smallCaps/>
      <w:spacing w:val="10"/>
      <w:sz w:val="16"/>
    </w:rPr>
  </w:style>
  <w:style w:type="paragraph" w:styleId="ByLine">
    <w:name w:val="By Line"/>
    <w:basedOn w:val="Closing"/>
    <w:next w:val="SignatureName"/>
    <w:qFormat/>
    <w:pPr>
      <w:tabs>
        <w:tab w:val="clear" w:pos="720"/>
        <w:tab w:val="left" w:pos="5040" w:leader="none"/>
        <w:tab w:val="right" w:pos="9360" w:leader="underscore"/>
      </w:tabs>
      <w:spacing w:before="480" w:after="0"/>
    </w:pPr>
    <w:rPr/>
  </w:style>
  <w:style w:type="paragraph" w:styleId="FooterIDLetter">
    <w:name w:val="Footer ID (Letter)"/>
    <w:basedOn w:val="FooterID"/>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2001-04-16T18:50:00Z</dcterms:created>
  <dc:creator>GSF</dc:creator>
  <dc:description>Create a new letter on Brobeck letterhead.</dc:description>
  <dc:language>en-CA</dc:language>
  <cp:lastModifiedBy>Systems Engineer</cp:lastModifiedBy>
  <cp:lastPrinted>2001-04-16T14:17:00Z</cp:lastPrinted>
  <dcterms:modified xsi:type="dcterms:W3CDTF">2001-04-16T18:50:00Z</dcterms:modified>
  <cp:revision>3</cp:revision>
  <dc:subject>asdf</dc:subject>
  <dc:title>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SFRLIB1\GSF\5496271.01(39SY701!.DOC)</vt:lpwstr>
  </property>
  <property fmtid="{D5CDD505-2E9C-101B-9397-08002B2CF9AE}" pid="10" name="Doc Path">
    <vt:lpwstr> </vt:lpwstr>
  </property>
  <property fmtid="{D5CDD505-2E9C-101B-9397-08002B2CF9AE}" pid="11" name="DocumentType">
    <vt:lpwstr>LTR   </vt:lpwstr>
  </property>
  <property fmtid="{D5CDD505-2E9C-101B-9397-08002B2CF9AE}" pid="12" name="FooterStore">
    <vt:lpwstr> </vt:lpwstr>
  </property>
  <property fmtid="{D5CDD505-2E9C-101B-9397-08002B2CF9AE}" pid="13" name="Local Office">
    <vt:lpwstr>San Francisco</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Gary S. Fergus</vt:lpwstr>
  </property>
</Properties>
</file>