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-Level2"/>
        <w:spacing w:before="240" w:after="120"/>
        <w:jc w:val="center"/>
        <w:rPr>
          <w:rFonts w:ascii="Arial" w:hAnsi="Arial" w:eastAsia="Arial" w:cs="Arial"/>
          <w:shadow w:val="false"/>
        </w:rPr>
      </w:pPr>
      <w:r>
        <w:rPr>
          <w:rFonts w:eastAsia="Arial" w:cs="Arial" w:ascii="Arial" w:hAnsi="Arial"/>
          <w:shadow w:val="false"/>
        </w:rPr>
        <w:t>Ajay Khandelwal</w:t>
      </w:r>
    </w:p>
    <w:p>
      <w:pPr>
        <w:pStyle w:val="BodyText"/>
        <w:pBdr>
          <w:bottom w:val="single" w:sz="6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ajay.khandelwal.ftmba99-00@cranfield.ac.uk</w:t>
      </w:r>
    </w:p>
    <w:p>
      <w:pPr>
        <w:sectPr>
          <w:type w:val="nextPage"/>
          <w:pgSz w:w="11906" w:h="16838"/>
          <w:pgMar w:left="1276" w:right="992" w:gutter="0" w:header="0" w:top="993" w:footer="0" w:bottom="1440"/>
          <w:pgNumType w:fmt="decimal"/>
          <w:formProt w:val="false"/>
          <w:textDirection w:val="lrTb"/>
        </w:sectPr>
      </w:pPr>
    </w:p>
    <w:p>
      <w:pPr>
        <w:pStyle w:val="BodyText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  <w:t>Present Address: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224, Lanchester Hall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Cranfield School of Management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Cranfield, Bedford MK43 OAL</w:t>
      </w:r>
    </w:p>
    <w:p>
      <w:pPr>
        <w:pStyle w:val="BodyText"/>
        <w:spacing w:before="0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United Kingdom</w:t>
      </w:r>
    </w:p>
    <w:p>
      <w:pPr>
        <w:pStyle w:val="BodyTex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+44 (0) 1234 758624</w:t>
      </w:r>
    </w:p>
    <w:p>
      <w:pPr>
        <w:pStyle w:val="BodyText"/>
        <w:ind w:start="2552" w:end="0"/>
        <w:jc w:val="start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BodyText"/>
        <w:spacing w:before="0" w:after="0"/>
        <w:ind w:start="2340" w:end="0"/>
        <w:jc w:val="start"/>
        <w:rPr/>
      </w:pPr>
      <w:r>
        <w:rPr>
          <w:rFonts w:eastAsia="Arial" w:cs="Arial" w:ascii="Arial" w:hAnsi="Arial"/>
          <w:b/>
          <w:bCs/>
          <w:sz w:val="16"/>
          <w:szCs w:val="16"/>
        </w:rPr>
        <w:t>Permanent Address:</w:t>
      </w:r>
      <w:r>
        <w:rPr>
          <w:rFonts w:eastAsia="Arial" w:cs="Arial" w:ascii="Arial" w:hAnsi="Arial"/>
          <w:sz w:val="16"/>
          <w:szCs w:val="16"/>
        </w:rPr>
        <w:t xml:space="preserve"> 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705, Building No. 3,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Navjeevan Society, 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Lamington Road, Bombay</w:t>
      </w:r>
    </w:p>
    <w:p>
      <w:pPr>
        <w:pStyle w:val="BodyText"/>
        <w:spacing w:before="0" w:after="0"/>
        <w:ind w:start="2340" w:end="0"/>
        <w:jc w:val="star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India</w:t>
      </w:r>
    </w:p>
    <w:p>
      <w:pPr>
        <w:pStyle w:val="Normal"/>
        <w:ind w:start="2340" w:end="0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+91 (0) 22  807 4761</w:t>
      </w:r>
    </w:p>
    <w:p>
      <w:pPr>
        <w:sectPr>
          <w:type w:val="continuous"/>
          <w:pgSz w:w="11906" w:h="16838"/>
          <w:pgMar w:left="1276" w:right="992" w:gutter="0" w:header="0" w:top="993" w:footer="0" w:bottom="1440"/>
          <w:cols w:num="2" w:space="708" w:equalWidth="true" w:sep="false"/>
          <w:formProt w:val="false"/>
          <w:textDirection w:val="lrTb"/>
        </w:sectPr>
      </w:pPr>
    </w:p>
    <w:p>
      <w:pPr>
        <w:pStyle w:val="Heading-Level2"/>
        <w:rPr>
          <w:rFonts w:ascii="Arial" w:hAnsi="Arial" w:eastAsia="Arial" w:cs="Arial"/>
          <w:b w:val="false"/>
          <w:bCs w:val="false"/>
          <w:shadow w:val="false"/>
          <w:sz w:val="16"/>
          <w:szCs w:val="16"/>
        </w:rPr>
      </w:pPr>
      <w:r>
        <w:rPr>
          <w:rFonts w:eastAsia="Arial" w:cs="Arial" w:ascii="Arial" w:hAnsi="Arial"/>
          <w:b w:val="false"/>
          <w:bCs w:val="false"/>
          <w:shadow w:val="false"/>
          <w:sz w:val="16"/>
          <w:szCs w:val="16"/>
        </w:rPr>
      </w:r>
    </w:p>
    <w:p>
      <w:pPr>
        <w:pStyle w:val="Heading-Level2"/>
        <w:rPr>
          <w:shadow w:val="false"/>
        </w:rPr>
      </w:pPr>
      <w:r>
        <w:rPr>
          <w:shadow w:val="false"/>
        </w:rPr>
        <w:t>Career Summary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80"/>
        <w:ind w:hanging="720" w:start="720" w:end="0"/>
        <w:jc w:val="both"/>
        <w:rPr>
          <w:rFonts w:ascii="Arial" w:hAnsi="Arial" w:eastAsia="Arial" w:cs="Arial"/>
          <w:b w:val="false"/>
          <w:bCs w:val="false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sz w:val="18"/>
          <w:szCs w:val="18"/>
        </w:rPr>
        <w:t>Electrical Engineer with six years effective multi-disciplinary experience in the electric power industry with a focus on obtaining results, often under inhospitable conditions and to demanding deadlines. Extensive experience in dealing with regulatory agencies in India.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80"/>
        <w:ind w:hanging="720" w:start="720" w:end="0"/>
        <w:jc w:val="both"/>
        <w:rPr>
          <w:rFonts w:ascii="Arial" w:hAnsi="Arial" w:eastAsia="Arial" w:cs="Arial"/>
          <w:b w:val="false"/>
          <w:bCs w:val="false"/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sz w:val="18"/>
          <w:szCs w:val="18"/>
        </w:rPr>
        <w:t xml:space="preserve">Rapid advancement with responsibilities in contracts negotiations and business development for large scale power projects development in India.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80"/>
        <w:ind w:hanging="720" w:start="720" w:end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Extensive experience working in cross-functional and culturally divergent teams. Demonstrated a high degree of determination and adaptability to an ever-changing environment.</w:t>
      </w:r>
    </w:p>
    <w:p>
      <w:pPr>
        <w:pStyle w:val="Heading-Level2"/>
        <w:rPr/>
      </w:pPr>
      <w:r>
        <w:rPr/>
        <w:t>Employment</w:t>
      </w:r>
    </w:p>
    <w:tbl>
      <w:tblPr>
        <w:tblW w:w="1001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7"/>
        <w:gridCol w:w="6792"/>
        <w:gridCol w:w="1402"/>
      </w:tblGrid>
      <w:tr>
        <w:trPr>
          <w:tblHeader w:val="true"/>
          <w:trHeight w:val="491" w:hRule="atLeast"/>
        </w:trPr>
        <w:tc>
          <w:tcPr>
            <w:tcW w:w="1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end="142"/>
              <w:jc w:val="start"/>
              <w:rPr>
                <w:position w:val="14"/>
                <w:sz w:val="22"/>
                <w:szCs w:val="22"/>
              </w:rPr>
            </w:pPr>
            <w:r>
              <w:rPr>
                <w:position w:val="14"/>
                <w:sz w:val="22"/>
                <w:szCs w:val="22"/>
              </w:rPr>
              <w:t>Employer</w:t>
            </w:r>
          </w:p>
        </w:tc>
        <w:tc>
          <w:tcPr>
            <w:tcW w:w="6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end="142"/>
              <w:jc w:val="start"/>
              <w:rPr>
                <w:position w:val="14"/>
                <w:sz w:val="22"/>
                <w:szCs w:val="22"/>
              </w:rPr>
            </w:pPr>
            <w:r>
              <w:rPr>
                <w:position w:val="14"/>
                <w:sz w:val="22"/>
                <w:szCs w:val="22"/>
              </w:rPr>
              <w:t>Position held and responsibilities</w:t>
            </w:r>
          </w:p>
        </w:tc>
        <w:tc>
          <w:tcPr>
            <w:tcW w:w="1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end="142"/>
              <w:jc w:val="start"/>
              <w:rPr/>
            </w:pPr>
            <w:r>
              <w:rPr>
                <w:sz w:val="22"/>
                <w:szCs w:val="22"/>
              </w:rPr>
              <w:t>Dates</w:t>
            </w:r>
            <w:r>
              <w:rPr>
                <w:position w:val="14"/>
                <w:sz w:val="22"/>
                <w:szCs w:val="22"/>
              </w:rPr>
              <w:t xml:space="preserve"> employed</w:t>
            </w:r>
          </w:p>
        </w:tc>
      </w:tr>
      <w:tr>
        <w:trPr>
          <w:trHeight w:val="3827" w:hRule="exact"/>
        </w:trPr>
        <w:tc>
          <w:tcPr>
            <w:tcW w:w="1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00" w:after="10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Essar Power Limited, Bombay</w:t>
            </w:r>
          </w:p>
        </w:tc>
        <w:tc>
          <w:tcPr>
            <w:tcW w:w="6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spacing w:before="100" w:after="100"/>
              <w:ind w:end="14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Deputy Manager (Business Development) 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before="100" w:after="100"/>
              <w:ind w:hanging="700" w:start="700"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Business Development and Basic Engineering for 342 MW Naphtha based Combined Cycle Power Plant (CCPP) at Bhander, India with a capital investment of about US $ 270 million. 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before="100" w:after="100"/>
              <w:ind w:hanging="700" w:start="700"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Responsible for finalisation of key contracts including Power Purchase Agreement, Fuel Supply Agreement, and Owner’s Engineer Agreement. 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before="100" w:after="100"/>
              <w:ind w:hanging="700" w:start="700"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Responsible for the preparation and finalisation of Independent Engineers Report with Sargent and Lundy, USA for High Yield Bond Financing.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before="100" w:after="100"/>
              <w:ind w:hanging="700" w:start="700" w:end="14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 key member of the team finalising the design/engineering of this project with Black and Veatch, USA. Additionally. Responsible for the application for and expediting of the different statutory/non-statutory clearances, including environmental and pollution permits.</w:t>
            </w:r>
          </w:p>
        </w:tc>
        <w:tc>
          <w:tcPr>
            <w:tcW w:w="1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00" w:after="10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1998 – 1999</w:t>
            </w:r>
          </w:p>
        </w:tc>
      </w:tr>
      <w:tr>
        <w:trPr>
          <w:trHeight w:val="2567" w:hRule="exact"/>
        </w:trPr>
        <w:tc>
          <w:tcPr>
            <w:tcW w:w="1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3"/>
              <w:spacing w:before="100" w:after="1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Powergen India Pvt. Ltd. (A 100% subsidiary of Powergen Plc. UK)</w:t>
            </w:r>
          </w:p>
        </w:tc>
        <w:tc>
          <w:tcPr>
            <w:tcW w:w="6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before="100" w:after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Assistant Manager (Project- Electrical)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before="100" w:after="100"/>
              <w:ind w:hanging="700" w:start="700" w:end="142"/>
              <w:rPr>
                <w:rFonts w:ascii="Arial" w:hAnsi="Arial" w:eastAsia="Arial" w:cs="Arial"/>
                <w:b w:val="false"/>
                <w:bCs w:val="false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18"/>
                <w:szCs w:val="18"/>
              </w:rPr>
              <w:t xml:space="preserve">Responsible for the shop testing and commissioning of the critical electrical systems and equipment for 655 MW Dual Fuel Fired CCPP at Paguthan, India. 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before="100" w:after="100"/>
              <w:ind w:hanging="700" w:start="700"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Team member for the acceptance testing of “MAXIMO”, a power plant maintenance management system. Responsible for the preparation of safety instruction and operation procedures for Extra High Voltage Equipment</w:t>
            </w:r>
          </w:p>
        </w:tc>
        <w:tc>
          <w:tcPr>
            <w:tcW w:w="1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00" w:after="10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1996-1997</w:t>
            </w:r>
          </w:p>
        </w:tc>
      </w:tr>
      <w:tr>
        <w:trPr>
          <w:trHeight w:val="2810" w:hRule="exact"/>
        </w:trPr>
        <w:tc>
          <w:tcPr>
            <w:tcW w:w="1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100" w:after="100"/>
              <w:ind w:end="142"/>
              <w:jc w:val="star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Essar Power Limited, Bombay</w:t>
            </w:r>
          </w:p>
          <w:p>
            <w:pPr>
              <w:pStyle w:val="FinancialTableColHd"/>
              <w:spacing w:before="100" w:after="100"/>
              <w:ind w:end="142"/>
              <w:jc w:val="both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</w:r>
          </w:p>
        </w:tc>
        <w:tc>
          <w:tcPr>
            <w:tcW w:w="6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2"/>
              <w:spacing w:lineRule="auto" w:line="240" w:before="100" w:after="100"/>
              <w:ind w:end="142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Senior Engineer (Projects)</w:t>
            </w:r>
          </w:p>
          <w:p>
            <w:pPr>
              <w:pStyle w:val="BodyText2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240" w:before="80" w:after="80"/>
              <w:ind w:hanging="706" w:start="706" w:end="1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Responsible for the preliminary feasibility studies and detailed analysis for the 515 MW Gas Based CCPP at Hazira, India</w:t>
            </w:r>
          </w:p>
          <w:p>
            <w:pPr>
              <w:pStyle w:val="BodyText2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240" w:before="80" w:after="80"/>
              <w:ind w:hanging="706" w:start="706" w:end="1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Responsible for the detailed engineering and design integration for 515 MW. </w:t>
            </w:r>
          </w:p>
          <w:p>
            <w:pPr>
              <w:pStyle w:val="BodyText2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240" w:before="80" w:after="80"/>
              <w:ind w:hanging="706" w:start="706" w:end="1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Responsible for the commissioning of the electrical systems of General Electric Gas Turbine Generators. </w:t>
            </w:r>
          </w:p>
          <w:p>
            <w:pPr>
              <w:pStyle w:val="BodyText2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240" w:before="80" w:after="80"/>
              <w:ind w:hanging="706" w:start="706" w:end="1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Additionally responsible for the quality testing of electrical systems such Generator Transformers, High Voltage Equipment for the power project.</w:t>
            </w:r>
          </w:p>
        </w:tc>
        <w:tc>
          <w:tcPr>
            <w:tcW w:w="14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spacing w:before="100" w:after="10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1993- 1996</w:t>
            </w:r>
          </w:p>
        </w:tc>
      </w:tr>
    </w:tbl>
    <w:p>
      <w:pPr>
        <w:pStyle w:val="Normal"/>
        <w:ind w:end="14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-Level2"/>
        <w:rPr/>
      </w:pPr>
      <w:r>
        <w:rPr>
          <w:shadow w:val="false"/>
        </w:rPr>
        <w:t>University Education (</w:t>
      </w:r>
      <w:r>
        <w:rPr>
          <w:shadow w:val="false"/>
          <w:sz w:val="16"/>
          <w:szCs w:val="16"/>
        </w:rPr>
        <w:t>Bachelors &amp; Above</w:t>
      </w:r>
      <w:r>
        <w:rPr/>
        <w:t>)</w:t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851"/>
        <w:gridCol w:w="2236"/>
        <w:gridCol w:w="1771"/>
        <w:gridCol w:w="2655"/>
        <w:gridCol w:w="1559"/>
      </w:tblGrid>
      <w:tr>
        <w:trPr>
          <w:trHeight w:val="221" w:hRule="atLeast"/>
        </w:trPr>
        <w:tc>
          <w:tcPr>
            <w:tcW w:w="166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end="142"/>
              <w:rPr>
                <w:position w:val="-16"/>
                <w:sz w:val="20"/>
                <w:szCs w:val="20"/>
              </w:rPr>
            </w:pPr>
            <w:r>
              <w:rPr>
                <w:position w:val="-16"/>
                <w:sz w:val="20"/>
                <w:szCs w:val="20"/>
              </w:rPr>
              <w:t>Dates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  <w:t>Name of University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start="-108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  <w:t>Degree title</w:t>
            </w:r>
          </w:p>
        </w:tc>
        <w:tc>
          <w:tcPr>
            <w:tcW w:w="26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start="-108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  <w:t xml:space="preserve">Main subjects </w:t>
              <w:br/>
              <w:t>studied</w:t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tabs>
                <w:tab w:val="clear" w:pos="720"/>
                <w:tab w:val="left" w:pos="1309" w:leader="none"/>
              </w:tabs>
              <w:spacing w:before="20" w:after="30"/>
              <w:ind w:start="-108" w:end="34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  <w:t>Results for each subject so far</w:t>
            </w:r>
          </w:p>
        </w:tc>
      </w:tr>
      <w:tr>
        <w:trPr>
          <w:trHeight w:val="566" w:hRule="atLeast"/>
        </w:trPr>
        <w:tc>
          <w:tcPr>
            <w:tcW w:w="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FinancialTableColHd"/>
              <w:spacing w:before="20" w:after="30"/>
              <w:ind w:start="-90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  <w:t>From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pacing w:before="20" w:after="30"/>
              <w:ind w:start="-90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  <w:t>To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napToGrid w:val="false"/>
              <w:spacing w:before="20" w:after="30"/>
              <w:ind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napToGrid w:val="false"/>
              <w:spacing w:before="20" w:after="30"/>
              <w:ind w:start="-108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</w:r>
          </w:p>
        </w:tc>
        <w:tc>
          <w:tcPr>
            <w:tcW w:w="26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napToGrid w:val="false"/>
              <w:spacing w:before="20" w:after="30"/>
              <w:ind w:start="-108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inancialTableColHd"/>
              <w:snapToGrid w:val="false"/>
              <w:spacing w:before="20" w:after="30"/>
              <w:ind w:start="-108" w:end="142"/>
              <w:rPr>
                <w:position w:val="16"/>
                <w:sz w:val="20"/>
                <w:szCs w:val="20"/>
              </w:rPr>
            </w:pPr>
            <w:r>
              <w:rPr>
                <w:position w:val="16"/>
                <w:sz w:val="20"/>
                <w:szCs w:val="20"/>
              </w:rPr>
            </w:r>
          </w:p>
        </w:tc>
      </w:tr>
      <w:tr>
        <w:trPr>
          <w:trHeight w:val="969" w:hRule="exact"/>
        </w:trPr>
        <w:tc>
          <w:tcPr>
            <w:tcW w:w="81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  <w:t>1999</w:t>
            </w:r>
          </w:p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  <w:t>2000</w:t>
            </w:r>
          </w:p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  <w:t>Cranfield School of Management</w:t>
            </w:r>
          </w:p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  <w:t xml:space="preserve">MBA </w:t>
            </w:r>
          </w:p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</w:tc>
        <w:tc>
          <w:tcPr>
            <w:tcW w:w="2655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  <w:t>Compulsory + electives w/ emphasis in international finance and project management.</w:t>
            </w:r>
          </w:p>
          <w:p>
            <w:pPr>
              <w:pStyle w:val="BodyText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</w:tc>
        <w:tc>
          <w:tcPr>
            <w:tcW w:w="1559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jc w:val="center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  <w:t>In progress</w:t>
            </w:r>
          </w:p>
          <w:p>
            <w:pPr>
              <w:pStyle w:val="BodyText"/>
              <w:ind w:end="142"/>
              <w:jc w:val="center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  <w:p>
            <w:pPr>
              <w:pStyle w:val="BodyText"/>
              <w:spacing w:before="0" w:after="120"/>
              <w:ind w:end="142"/>
              <w:jc w:val="center"/>
              <w:rPr>
                <w:rFonts w:ascii="Arial" w:hAnsi="Arial" w:eastAsia="Arial" w:cs="Arial"/>
                <w:position w:val="-16"/>
                <w:sz w:val="18"/>
                <w:szCs w:val="18"/>
              </w:rPr>
            </w:pPr>
            <w:r>
              <w:rPr>
                <w:rFonts w:eastAsia="Arial" w:cs="Arial" w:ascii="Arial" w:hAnsi="Arial"/>
                <w:position w:val="-16"/>
                <w:sz w:val="18"/>
                <w:szCs w:val="18"/>
              </w:rPr>
            </w:r>
          </w:p>
        </w:tc>
      </w:tr>
      <w:tr>
        <w:trPr>
          <w:trHeight w:val="1157" w:hRule="exact"/>
        </w:trPr>
        <w:tc>
          <w:tcPr>
            <w:tcW w:w="81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1989</w:t>
            </w:r>
          </w:p>
        </w:tc>
        <w:tc>
          <w:tcPr>
            <w:tcW w:w="851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1993</w:t>
            </w:r>
          </w:p>
        </w:tc>
        <w:tc>
          <w:tcPr>
            <w:tcW w:w="223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Victoria Jubilee Technical Institute, University of Bombay</w:t>
            </w:r>
          </w:p>
        </w:tc>
        <w:tc>
          <w:tcPr>
            <w:tcW w:w="177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Bachelor of Engineering (Electrical) with Honours</w:t>
            </w:r>
          </w:p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65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spacing w:before="0" w:after="120"/>
              <w:ind w:end="1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Electrical Engineering</w:t>
            </w:r>
          </w:p>
        </w:tc>
        <w:tc>
          <w:tcPr>
            <w:tcW w:w="155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end="14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71.12% </w:t>
            </w:r>
          </w:p>
          <w:p>
            <w:pPr>
              <w:pStyle w:val="BodyText"/>
              <w:spacing w:before="0" w:after="120"/>
              <w:ind w:end="142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Stood 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THIRD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in University of Bombay</w:t>
            </w:r>
          </w:p>
        </w:tc>
      </w:tr>
    </w:tbl>
    <w:p>
      <w:pPr>
        <w:pStyle w:val="Normal"/>
        <w:ind w:end="142"/>
        <w:rPr/>
      </w:pPr>
      <w:r>
        <w:rPr/>
      </w:r>
    </w:p>
    <w:p>
      <w:pPr>
        <w:pStyle w:val="Normal"/>
        <w:ind w:end="142"/>
        <w:rPr/>
      </w:pPr>
      <w:r>
        <w:rPr/>
      </w:r>
    </w:p>
    <w:p>
      <w:pPr>
        <w:pStyle w:val="Normal"/>
        <w:ind w:end="142"/>
        <w:rPr/>
      </w:pPr>
      <w:r>
        <w:rPr/>
      </w:r>
    </w:p>
    <w:sectPr>
      <w:type w:val="continuous"/>
      <w:pgSz w:w="11906" w:h="16838"/>
      <w:pgMar w:left="1282" w:right="994" w:gutter="0" w:header="0" w:top="993" w:footer="0" w:bottom="1440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Tahoma">
    <w:charset w:val="01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decimal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es-ES_tradn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00" w:after="100"/>
      <w:ind w:hanging="0" w:start="0" w:end="142"/>
      <w:outlineLvl w:val="1"/>
    </w:pPr>
    <w:rPr>
      <w:rFonts w:ascii="Arial" w:hAnsi="Arial" w:eastAsia="Arial" w:cs="Arial"/>
      <w:color w:val="000000"/>
      <w:sz w:val="14"/>
      <w:szCs w:val="14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tabs>
        <w:tab w:val="clear" w:pos="720"/>
        <w:tab w:val="left" w:pos="432" w:leader="none"/>
      </w:tabs>
      <w:jc w:val="both"/>
      <w:outlineLvl w:val="3"/>
    </w:pPr>
    <w:rPr>
      <w:rFonts w:ascii="Times New Roman" w:hAnsi="Times New Roman" w:eastAsia="Times New Roman" w:cs="Times New Roman"/>
      <w:b w:val="false"/>
      <w:bCs w:val="false"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b w:val="false"/>
      <w:bCs w:val="false"/>
      <w:sz w:val="22"/>
      <w:szCs w:val="22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inancialTableColHd">
    <w:name w:val="Financial Table Col Hd"/>
    <w:qFormat/>
    <w:pPr>
      <w:keepNext w:val="true"/>
      <w:keepLines/>
      <w:widowControl/>
      <w:bidi w:val="0"/>
      <w:spacing w:before="20" w:after="30"/>
      <w:jc w:val="center"/>
    </w:pPr>
    <w:rPr>
      <w:rFonts w:ascii="Arial" w:hAnsi="Arial" w:eastAsia="Arial" w:cs="Arial"/>
      <w:b/>
      <w:bCs/>
      <w:color w:val="auto"/>
      <w:sz w:val="14"/>
      <w:szCs w:val="14"/>
      <w:lang w:val="en-GB" w:eastAsia="zh-CN" w:bidi="hi-IN"/>
    </w:rPr>
  </w:style>
  <w:style w:type="paragraph" w:styleId="Heading-Level2">
    <w:name w:val="Heading - Level 2"/>
    <w:next w:val="BodyText"/>
    <w:qFormat/>
    <w:pPr>
      <w:keepNext w:val="true"/>
      <w:keepLines/>
      <w:widowControl/>
      <w:bidi w:val="0"/>
      <w:spacing w:before="240" w:after="120"/>
      <w:ind w:hanging="0" w:start="0" w:end="142"/>
    </w:pPr>
    <w:rPr>
      <w:rFonts w:ascii="Times New Roman" w:hAnsi="Times New Roman" w:eastAsia="Times New Roman" w:cs="Times New Roman"/>
      <w:b/>
      <w:bCs/>
      <w:smallCaps/>
      <w:shadow/>
      <w:color w:val="000080"/>
      <w:spacing w:val="30"/>
      <w:sz w:val="24"/>
      <w:szCs w:val="24"/>
      <w:lang w:val="en-GB" w:eastAsia="zh-CN" w:bidi="hi-IN"/>
    </w:rPr>
  </w:style>
  <w:style w:type="paragraph" w:styleId="BodyText2">
    <w:name w:val="Body Text 2"/>
    <w:basedOn w:val="Normal"/>
    <w:qFormat/>
    <w:pPr>
      <w:spacing w:lineRule="auto" w:line="480" w:before="0" w:after="120"/>
      <w:jc w:val="both"/>
    </w:pPr>
    <w:rPr>
      <w:b w:val="false"/>
      <w:bCs w:val="false"/>
      <w:sz w:val="22"/>
      <w:szCs w:val="22"/>
      <w:lang w:val="en-GB"/>
    </w:rPr>
  </w:style>
  <w:style w:type="paragraph" w:styleId="BodyText3">
    <w:name w:val="Body Text 3"/>
    <w:basedOn w:val="Normal"/>
    <w:qFormat/>
    <w:pPr>
      <w:spacing w:before="100" w:after="100"/>
      <w:ind w:hanging="0" w:start="0" w:end="142"/>
    </w:pPr>
    <w:rPr>
      <w:rFonts w:ascii="Arial" w:hAnsi="Arial" w:eastAsia="Arial" w:cs="Arial"/>
      <w:b w:val="false"/>
      <w:bCs w:val="false"/>
      <w:sz w:val="14"/>
      <w:szCs w:val="14"/>
    </w:rPr>
  </w:style>
  <w:style w:type="paragraph" w:styleId="CVHeadings-CareersSummary">
    <w:name w:val="CV Headings - Careers Summary"/>
    <w:basedOn w:val="Normal"/>
    <w:qFormat/>
    <w:pPr>
      <w:spacing w:before="480" w:after="240"/>
    </w:pPr>
    <w:rPr>
      <w:sz w:val="20"/>
      <w:szCs w:val="20"/>
      <w:lang w:val="en-GB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b w:val="false"/>
      <w:bCs w:val="false"/>
      <w:color w:val="000000"/>
      <w:lang w:val="en-GB"/>
    </w:rPr>
  </w:style>
  <w:style w:type="paragraph" w:styleId="CVContent-Personal">
    <w:name w:val="CV Content - Personal"/>
    <w:basedOn w:val="Normal"/>
    <w:qFormat/>
    <w:pPr>
      <w:spacing w:lineRule="exact" w:line="360"/>
    </w:pPr>
    <w:rPr>
      <w:b w:val="false"/>
      <w:bCs w:val="false"/>
      <w:sz w:val="20"/>
      <w:szCs w:val="20"/>
      <w:lang w:val="en-GB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WW-BodyText2">
    <w:name w:val="WW-Body Text 2"/>
    <w:basedOn w:val="Normal"/>
    <w:qFormat/>
    <w:pPr>
      <w:ind w:hanging="709" w:start="709" w:end="0"/>
    </w:pPr>
    <w:rPr>
      <w:b w:val="false"/>
      <w:bCs w:val="false"/>
      <w:sz w:val="20"/>
      <w:szCs w:val="20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1999-12-24T08:24:00Z</dcterms:created>
  <dc:creator>nt3</dc:creator>
  <dc:description/>
  <dc:language>en-CA</dc:language>
  <cp:lastModifiedBy>School of Management</cp:lastModifiedBy>
  <cp:lastPrinted>1999-10-19T17:59:00Z</cp:lastPrinted>
  <dcterms:modified xsi:type="dcterms:W3CDTF">1999-12-24T08:24:00Z</dcterms:modified>
  <cp:revision>2</cp:revision>
  <dc:subject/>
  <dc:title>flavio graf resume</dc:title>
</cp:coreProperties>
</file>