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18" w:type="dxa"/>
        <w:tblLayout w:type="fixed"/>
        <w:tblCellMar>
          <w:top w:w="0" w:type="dxa"/>
          <w:start w:w="108" w:type="dxa"/>
          <w:bottom w:w="0" w:type="dxa"/>
          <w:end w:w="108" w:type="dxa"/>
        </w:tblCellMar>
      </w:tblPr>
      <w:tblGrid>
        <w:gridCol w:w="1890"/>
        <w:gridCol w:w="7650"/>
      </w:tblGrid>
      <w:tr>
        <w:trPr/>
        <w:tc>
          <w:tcPr>
            <w:tcW w:w="1890" w:type="dxa"/>
            <w:tcBorders/>
          </w:tcPr>
          <w:p>
            <w:pPr>
              <w:pStyle w:val="FootnoteText"/>
              <w:spacing w:before="20" w:after="0"/>
              <w:jc w:val="both"/>
              <w:rPr/>
            </w:pPr>
            <w:r>
              <w:rPr/>
              <w:drawing>
                <wp:inline distT="0" distB="0" distL="0" distR="0">
                  <wp:extent cx="837565" cy="831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37565" cy="831850"/>
                          </a:xfrm>
                          <a:prstGeom prst="rect">
                            <a:avLst/>
                          </a:prstGeom>
                          <a:noFill/>
                        </pic:spPr>
                      </pic:pic>
                    </a:graphicData>
                  </a:graphic>
                </wp:inline>
              </w:drawing>
            </w:r>
          </w:p>
        </w:tc>
        <w:tc>
          <w:tcPr>
            <w:tcW w:w="7650" w:type="dxa"/>
            <w:tcBorders/>
          </w:tcPr>
          <w:p>
            <w:pPr>
              <w:pStyle w:val="Normal"/>
              <w:snapToGrid w:val="false"/>
              <w:rPr>
                <w:b/>
                <w:sz w:val="28"/>
              </w:rPr>
            </w:pPr>
            <w:r>
              <w:rPr>
                <w:b/>
                <w:sz w:val="28"/>
              </w:rPr>
            </w:r>
          </w:p>
          <w:p>
            <w:pPr>
              <w:pStyle w:val="Normal"/>
              <w:rPr>
                <w:b/>
                <w:sz w:val="28"/>
              </w:rPr>
            </w:pPr>
            <w:r>
              <w:rPr>
                <w:b/>
                <w:sz w:val="28"/>
              </w:rPr>
              <w:t xml:space="preserve">        </w:t>
            </w:r>
            <w:r>
              <w:rPr>
                <w:b/>
                <w:sz w:val="28"/>
              </w:rPr>
              <w:t>INTEROFFICE MEMORANDUM</w:t>
            </w:r>
          </w:p>
          <w:p>
            <w:pPr>
              <w:pStyle w:val="Normal"/>
              <w:rPr>
                <w:b/>
                <w:sz w:val="36"/>
              </w:rPr>
            </w:pPr>
            <w:r>
              <w:rPr>
                <w:b/>
                <w:sz w:val="36"/>
              </w:rPr>
            </w:r>
          </w:p>
          <w:p>
            <w:pPr>
              <w:pStyle w:val="Normal"/>
              <w:rPr>
                <w:b/>
                <w:sz w:val="36"/>
              </w:rPr>
            </w:pPr>
            <w:r>
              <w:rPr>
                <w:b/>
                <w:sz w:val="36"/>
              </w:rPr>
            </w:r>
          </w:p>
        </w:tc>
      </w:tr>
    </w:tbl>
    <w:p>
      <w:pPr>
        <w:pStyle w:val="Caption"/>
        <w:rPr/>
      </w:pPr>
      <w:r>
        <w:rPr/>
        <w:t>PRIVILEGED AND CONFIDENTIAL</w:t>
      </w:r>
    </w:p>
    <w:p>
      <w:pPr>
        <w:pStyle w:val="Normal"/>
        <w:pBdr>
          <w:top w:val="double" w:sz="12" w:space="1" w:color="000000"/>
        </w:pBdr>
        <w:rPr/>
      </w:pPr>
      <w:r>
        <w:rPr/>
      </w:r>
    </w:p>
    <w:tbl>
      <w:tblPr>
        <w:tblW w:w="9738" w:type="dxa"/>
        <w:jc w:val="start"/>
        <w:tblInd w:w="0" w:type="dxa"/>
        <w:tblLayout w:type="fixed"/>
        <w:tblCellMar>
          <w:top w:w="0" w:type="dxa"/>
          <w:start w:w="108" w:type="dxa"/>
          <w:bottom w:w="0" w:type="dxa"/>
          <w:end w:w="108" w:type="dxa"/>
        </w:tblCellMar>
      </w:tblPr>
      <w:tblGrid>
        <w:gridCol w:w="1728"/>
        <w:gridCol w:w="4770"/>
        <w:gridCol w:w="1440"/>
        <w:gridCol w:w="1800"/>
      </w:tblGrid>
      <w:tr>
        <w:trPr/>
        <w:tc>
          <w:tcPr>
            <w:tcW w:w="1728" w:type="dxa"/>
            <w:tcBorders/>
          </w:tcPr>
          <w:p>
            <w:pPr>
              <w:pStyle w:val="Normal"/>
              <w:spacing w:before="0" w:after="120"/>
              <w:rPr>
                <w:b/>
              </w:rPr>
            </w:pPr>
            <w:r>
              <w:rPr>
                <w:b/>
              </w:rPr>
              <w:t>TO:</w:t>
            </w:r>
          </w:p>
        </w:tc>
        <w:tc>
          <w:tcPr>
            <w:tcW w:w="4770" w:type="dxa"/>
            <w:tcBorders/>
          </w:tcPr>
          <w:p>
            <w:pPr>
              <w:pStyle w:val="Normal"/>
              <w:rPr/>
            </w:pPr>
            <w:r>
              <w:rPr/>
              <w:t>Mark Haedicke</w:t>
            </w:r>
          </w:p>
          <w:p>
            <w:pPr>
              <w:pStyle w:val="Normal"/>
              <w:rPr/>
            </w:pPr>
            <w:r>
              <w:rPr/>
              <w:t>Sheila Tweed</w:t>
            </w:r>
          </w:p>
          <w:p>
            <w:pPr>
              <w:pStyle w:val="Normal"/>
              <w:rPr/>
            </w:pPr>
            <w:r>
              <w:rPr/>
              <w:t>Julia Murray</w:t>
            </w:r>
          </w:p>
          <w:p>
            <w:pPr>
              <w:pStyle w:val="Normal"/>
              <w:rPr/>
            </w:pPr>
            <w:r>
              <w:rPr/>
              <w:t>Kristina Mordaunt</w:t>
            </w:r>
          </w:p>
        </w:tc>
        <w:tc>
          <w:tcPr>
            <w:tcW w:w="1440" w:type="dxa"/>
            <w:tcBorders/>
          </w:tcPr>
          <w:p>
            <w:pPr>
              <w:pStyle w:val="Normal"/>
              <w:spacing w:before="0" w:after="120"/>
              <w:rPr>
                <w:b/>
              </w:rPr>
            </w:pPr>
            <w:r>
              <w:rPr>
                <w:b/>
              </w:rPr>
              <w:t>DATE:</w:t>
            </w:r>
          </w:p>
        </w:tc>
        <w:tc>
          <w:tcPr>
            <w:tcW w:w="1800" w:type="dxa"/>
            <w:tcBorders/>
          </w:tcPr>
          <w:p>
            <w:pPr>
              <w:pStyle w:val="Normal"/>
              <w:spacing w:before="0" w:after="120"/>
              <w:rPr/>
            </w:pPr>
            <w:r>
              <w:rPr/>
              <w:fldChar w:fldCharType="begin"/>
            </w:r>
            <w:r>
              <w:rPr/>
              <w:instrText xml:space="preserve"> DATE \@"MMMM\ d', 'yyyy" </w:instrText>
            </w:r>
            <w:r>
              <w:rPr/>
              <w:fldChar w:fldCharType="separate"/>
            </w:r>
            <w:r>
              <w:rPr/>
              <w:t>September 28, 2025</w:t>
            </w:r>
            <w:r>
              <w:rPr/>
              <w:fldChar w:fldCharType="end"/>
            </w:r>
          </w:p>
        </w:tc>
      </w:tr>
      <w:tr>
        <w:trPr/>
        <w:tc>
          <w:tcPr>
            <w:tcW w:w="1728" w:type="dxa"/>
            <w:tcBorders/>
          </w:tcPr>
          <w:p>
            <w:pPr>
              <w:pStyle w:val="Normal"/>
              <w:spacing w:before="120" w:after="240"/>
              <w:rPr>
                <w:b/>
              </w:rPr>
            </w:pPr>
            <w:r>
              <w:rPr>
                <w:b/>
              </w:rPr>
              <w:t>FROM:</w:t>
            </w:r>
          </w:p>
        </w:tc>
        <w:tc>
          <w:tcPr>
            <w:tcW w:w="4770" w:type="dxa"/>
            <w:tcBorders/>
          </w:tcPr>
          <w:p>
            <w:pPr>
              <w:pStyle w:val="Normal"/>
              <w:spacing w:before="120" w:after="0"/>
              <w:rPr/>
            </w:pPr>
            <w:r>
              <w:rPr/>
              <w:t>Stuart R. Zisman</w:t>
            </w:r>
          </w:p>
          <w:p>
            <w:pPr>
              <w:pStyle w:val="Normal"/>
              <w:spacing w:before="0" w:after="120"/>
              <w:rPr/>
            </w:pPr>
            <w:r>
              <w:rPr/>
            </w:r>
          </w:p>
        </w:tc>
        <w:tc>
          <w:tcPr>
            <w:tcW w:w="1440" w:type="dxa"/>
            <w:tcBorders/>
          </w:tcPr>
          <w:p>
            <w:pPr>
              <w:pStyle w:val="Normal"/>
              <w:spacing w:before="120" w:after="240"/>
              <w:rPr>
                <w:b/>
              </w:rPr>
            </w:pPr>
            <w:r>
              <w:rPr>
                <w:b/>
              </w:rPr>
              <w:t>DEPT:</w:t>
            </w:r>
          </w:p>
        </w:tc>
        <w:tc>
          <w:tcPr>
            <w:tcW w:w="1800" w:type="dxa"/>
            <w:tcBorders/>
          </w:tcPr>
          <w:p>
            <w:pPr>
              <w:pStyle w:val="Normal"/>
              <w:spacing w:before="120" w:after="240"/>
              <w:rPr/>
            </w:pPr>
            <w:r>
              <w:rPr/>
              <w:t>ECT – Legal</w:t>
            </w:r>
          </w:p>
        </w:tc>
      </w:tr>
      <w:tr>
        <w:trPr/>
        <w:tc>
          <w:tcPr>
            <w:tcW w:w="1728" w:type="dxa"/>
            <w:tcBorders/>
          </w:tcPr>
          <w:p>
            <w:pPr>
              <w:pStyle w:val="Normal"/>
              <w:spacing w:before="0" w:after="120"/>
              <w:rPr>
                <w:b/>
              </w:rPr>
            </w:pPr>
            <w:r>
              <w:rPr>
                <w:b/>
              </w:rPr>
              <w:t>SUBJECT:</w:t>
            </w:r>
          </w:p>
        </w:tc>
        <w:tc>
          <w:tcPr>
            <w:tcW w:w="8010" w:type="dxa"/>
            <w:gridSpan w:val="3"/>
            <w:tcBorders/>
          </w:tcPr>
          <w:p>
            <w:pPr>
              <w:pStyle w:val="Normal"/>
              <w:rPr/>
            </w:pPr>
            <w:r>
              <w:rPr/>
              <w:t>Acquisition by Enron Capital &amp; Trade Resources Corp. (“ECT”) of two (2) GE Frame 7EA Combustion Turbine Generator Sets (“Turbines”) from Air Liquide America Corporation (“Air Liquide”)</w:t>
            </w:r>
          </w:p>
        </w:tc>
      </w:tr>
    </w:tbl>
    <w:p>
      <w:pPr>
        <w:pStyle w:val="Normal"/>
        <w:pBdr>
          <w:bottom w:val="double" w:sz="12" w:space="0" w:color="000000"/>
        </w:pBdr>
        <w:rPr>
          <w:sz w:val="12"/>
        </w:rPr>
      </w:pPr>
      <w:r>
        <w:rPr>
          <w:sz w:val="12"/>
        </w:rPr>
      </w:r>
    </w:p>
    <w:p>
      <w:pPr>
        <w:pStyle w:val="Normal"/>
        <w:jc w:val="center"/>
        <w:rPr>
          <w:sz w:val="12"/>
        </w:rPr>
      </w:pPr>
      <w:r>
        <w:rPr>
          <w:sz w:val="12"/>
        </w:rPr>
      </w:r>
    </w:p>
    <w:p>
      <w:pPr>
        <w:pStyle w:val="Heading1"/>
        <w:ind w:hanging="0" w:start="0"/>
        <w:rPr>
          <w:u w:val="none"/>
        </w:rPr>
      </w:pPr>
      <w:r>
        <w:rPr>
          <w:u w:val="none"/>
        </w:rPr>
        <w:t>ATTORNEY-CLIENT PRIVILEGE – DO NOT PRODUCE</w:t>
      </w:r>
    </w:p>
    <w:p>
      <w:pPr>
        <w:pStyle w:val="Normal"/>
        <w:rPr>
          <w:u w:val="single"/>
        </w:rPr>
      </w:pPr>
      <w:r>
        <w:rPr>
          <w:u w:val="single"/>
        </w:rPr>
        <w:tab/>
        <w:tab/>
        <w:tab/>
        <w:tab/>
        <w:tab/>
        <w:tab/>
        <w:tab/>
        <w:tab/>
        <w:tab/>
        <w:tab/>
        <w:tab/>
        <w:tab/>
      </w:r>
    </w:p>
    <w:p>
      <w:pPr>
        <w:pStyle w:val="Header"/>
        <w:tabs>
          <w:tab w:val="clear" w:pos="4320"/>
          <w:tab w:val="clear" w:pos="8640"/>
        </w:tabs>
        <w:rPr>
          <w:u w:val="single"/>
        </w:rPr>
      </w:pPr>
      <w:r>
        <w:rPr>
          <w:u w:val="single"/>
        </w:rPr>
      </w:r>
    </w:p>
    <w:p>
      <w:pPr>
        <w:pStyle w:val="Heading2"/>
        <w:ind w:hanging="0" w:start="0"/>
        <w:rPr/>
      </w:pPr>
      <w:r>
        <w:rPr/>
        <w:t>Factual Background</w:t>
      </w:r>
    </w:p>
    <w:p>
      <w:pPr>
        <w:pStyle w:val="Normal"/>
        <w:rPr/>
      </w:pPr>
      <w:r>
        <w:rPr/>
      </w:r>
    </w:p>
    <w:p>
      <w:pPr>
        <w:pStyle w:val="Normal"/>
        <w:rPr/>
      </w:pPr>
      <w:r>
        <w:rPr/>
        <w:tab/>
        <w:t>Pursuant to a Letter Agreement dated January 20, 1998 (the “Letter Agreement”), Air Liquide acquired an option from General Electric Company (“GE”) to purchase several Turbines on terms substantially similar to those contained in that certain Contract for Combustion Turbine Generator Geismar Cogeneration Project executed as of January 26, 1998 by and between Air Liquide Process and Construction, Inc. (an Air Liquide affiliate) and GE (“Geismar Contract”).</w:t>
      </w:r>
    </w:p>
    <w:p>
      <w:pPr>
        <w:pStyle w:val="Normal"/>
        <w:rPr/>
      </w:pPr>
      <w:r>
        <w:rPr/>
      </w:r>
    </w:p>
    <w:p>
      <w:pPr>
        <w:pStyle w:val="Normal"/>
        <w:rPr/>
      </w:pPr>
      <w:r>
        <w:rPr/>
        <w:tab/>
        <w:t>It is anticipated that the Letter Agreement will be amended and restated by a Memorandum of Understanding for Equipment Sale by and between GE and Air Liquide (“MOU”).  Pursuant to the MOU, Air Liquide will be entitled to purchase eight (8) Turbines in four (4) blocks of two (2) Turbines each (“Turbine Blocks”).</w:t>
      </w:r>
    </w:p>
    <w:p>
      <w:pPr>
        <w:pStyle w:val="Normal"/>
        <w:rPr/>
      </w:pPr>
      <w:r>
        <w:rPr/>
      </w:r>
    </w:p>
    <w:p>
      <w:pPr>
        <w:pStyle w:val="Normal"/>
        <w:ind w:firstLine="720" w:end="0"/>
        <w:rPr/>
      </w:pPr>
      <w:r>
        <w:rPr/>
        <w:t xml:space="preserve">Air Liquide desires to assign its rights, under the MOU, to purchase Turbines #1 and #2 (Turbine Block #1) from GE at a price of approximately $13,600,000 each (the “Assignment”).  In consideration for the Assignment, ECT will pay to Air Liquide approximately $4,800,000 (the “Consideration”).  </w:t>
      </w:r>
      <w:r>
        <w:rPr>
          <w:u w:val="single"/>
        </w:rPr>
        <w:t xml:space="preserve">The Consideration will be payable by ECT regardless of whether ECT is successful in negotiating a final contract of sale with GE relating to the sale of the Turbines.  </w:t>
      </w:r>
    </w:p>
    <w:p>
      <w:pPr>
        <w:pStyle w:val="Normal"/>
        <w:ind w:firstLine="720" w:end="0"/>
        <w:rPr>
          <w:u w:val="single"/>
        </w:rPr>
      </w:pPr>
      <w:r>
        <w:rPr>
          <w:u w:val="single"/>
        </w:rPr>
      </w:r>
    </w:p>
    <w:p>
      <w:pPr>
        <w:pStyle w:val="Normal"/>
        <w:ind w:firstLine="720" w:end="0"/>
        <w:rPr/>
      </w:pPr>
      <w:r>
        <w:rPr/>
        <w:t>Under the MOU, Air Liquide is prohibited from assigning (without consent) its rights to any party other than its affiliates or subsidiaries.  To facilitate the Assignment, Air Liquide and ECT will form Power Generation Investco, L.L.C. (the “LLC”), a Delaware limited liability company (ECT will own a 50% voting member interest and Air Liquide will own a 50% non-voting member interest).  The LLC will be the assignee under the Assignment.  Under the terms of the First Amended and Restated Limited Liability Company Agreement of LLC (“LLC Agreement”), ECT will be vested with full power and authority to act on behalf of the LLC.  The LLC Agreement will contain a “Put/Call” structure pursuant to which, upon commercial operation of the facility which incorporates the Turbines (“Trigger Event”), (i) ECT will have the right to purchase Air Liquide’s member interest in the LLC for $400,000 and (ii) if ECT fails to exercise its right to purchase such member interest, Air Liquide will be entitled to “put” its member interest to ECT for the same amount.</w:t>
      </w:r>
      <w:r>
        <w:rPr>
          <w:rStyle w:val="FootnoteCharacters"/>
          <w:rStyle w:val="FootnoteReference"/>
        </w:rPr>
        <w:footnoteReference w:id="2"/>
      </w:r>
      <w:r>
        <w:rPr/>
        <w:t xml:space="preserve"> </w:t>
      </w:r>
    </w:p>
    <w:p>
      <w:pPr>
        <w:pStyle w:val="Normal"/>
        <w:rPr/>
      </w:pPr>
      <w:r>
        <w:rPr/>
      </w:r>
    </w:p>
    <w:p>
      <w:pPr>
        <w:pStyle w:val="Normal"/>
        <w:rPr/>
      </w:pPr>
      <w:r>
        <w:rPr/>
        <w:t>The following are the principles risks associated with the transaction together with discussions of the mitigants, if any, to those risks:</w:t>
      </w:r>
    </w:p>
    <w:p>
      <w:pPr>
        <w:pStyle w:val="Normal"/>
        <w:rPr/>
      </w:pPr>
      <w:r>
        <w:rPr/>
      </w:r>
    </w:p>
    <w:p>
      <w:pPr>
        <w:pStyle w:val="Normal"/>
        <w:numPr>
          <w:ilvl w:val="0"/>
          <w:numId w:val="2"/>
        </w:numPr>
        <w:tabs>
          <w:tab w:val="clear" w:pos="720"/>
          <w:tab w:val="left" w:pos="0" w:leader="none"/>
        </w:tabs>
        <w:ind w:firstLine="720" w:start="0" w:end="0"/>
        <w:rPr/>
      </w:pPr>
      <w:r>
        <w:rPr>
          <w:b/>
          <w:u w:val="single"/>
        </w:rPr>
        <w:t>Inability to Reach Agreement with GE</w:t>
      </w:r>
      <w:r>
        <w:rPr/>
        <w:t>.  The MOU contemplates that within thirty (30) days following execution, GE and Air Liquide (or the Assignee) will enter into a comprehensive turbine contract of sale for the sale of Turbines #1 and #2 (“Final Documentation”), based on the form of the Geismar Contract.   Prior to Final Documentation, ECT will pay to GE (i) approximately $2,720,000 as a non-refundable down payment (due upon execution of the Assignment) and (ii) approximately $1,360,000 (due on April 15, 1999) as a progress payment.  In addition to the over four million dollars payable by ECT to GE prior to Final Documentation, ECT will also be responsible for the Consideration payable to Air Liquide regardless of whether or not ECT is ever able to reach Final Documentation with GE.  The only mitigant to the foregoing risk is a clause in the MOU that requires GE to negotiate the Final Documentation “in good faith.”</w:t>
      </w:r>
    </w:p>
    <w:p>
      <w:pPr>
        <w:pStyle w:val="Header"/>
        <w:tabs>
          <w:tab w:val="clear" w:pos="4320"/>
          <w:tab w:val="clear" w:pos="8640"/>
        </w:tabs>
        <w:rPr/>
      </w:pPr>
      <w:r>
        <w:rPr/>
      </w:r>
    </w:p>
    <w:p>
      <w:pPr>
        <w:pStyle w:val="Normal"/>
        <w:rPr/>
      </w:pPr>
      <w:r>
        <w:rPr/>
        <w:tab/>
        <w:t>2.</w:t>
        <w:tab/>
      </w:r>
      <w:r>
        <w:rPr>
          <w:b/>
          <w:u w:val="single"/>
        </w:rPr>
        <w:t>Discovery of the Underlying Deal Structure</w:t>
      </w:r>
      <w:r>
        <w:rPr/>
        <w:t xml:space="preserve">.  Although GE will be a signatory to the Assignment (in order to evidence its consent), it will not have knowledge of (i) the terms contained in the LLC Agreement or (ii) the Consideration being paid by ECT to Air Liquide.  GE has a stated policy of preventing its customers from creating a secondary Turbine market.  If it ever became aware of the deal structure between Air Liquide and ECT, GE might take the position that (x) the LLC was created merely to circumvent the prohibition against assignment contained in the MOU and (y) the Assignment was made in violation of the parties’ agreement.  This risk is reduced by the fact that (to the best of my knowledge) no assurances were made by any party regarding the Assignee’s ownership structure (other than the fact the Air Liquide and ECT would be the members).  Moreover, no “change in control” provisions exists in any of the relevant documents.  </w:t>
      </w:r>
    </w:p>
    <w:sectPr>
      <w:footerReference w:type="default" r:id="rId3"/>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A:\Air Liquide Memo 2.doc</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Air Liquide’s member interests will be held by ECT, along with an executed assignment of member interest, to secure Air Liquide’s compliance with the terms of the “Put/Call” option.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u w:val="single"/>
    </w:rPr>
  </w:style>
  <w:style w:type="paragraph" w:styleId="Heading2">
    <w:name w:val="heading 2"/>
    <w:basedOn w:val="Normal"/>
    <w:next w:val="Normal"/>
    <w:qFormat/>
    <w:pPr>
      <w:keepNext w:val="true"/>
      <w:numPr>
        <w:ilvl w:val="1"/>
        <w:numId w:val="1"/>
      </w:numPr>
      <w:outlineLvl w:val="1"/>
    </w:pPr>
    <w:rPr>
      <w:b/>
      <w:u w:val="single"/>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pBdr>
        <w:top w:val="double" w:sz="12" w:space="1" w:color="000000"/>
      </w:pBdr>
      <w:spacing w:before="120" w:after="0"/>
      <w:jc w:val="center"/>
    </w:pPr>
    <w:rPr>
      <w:b/>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star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1999-04-06T09:01:00Z</dcterms:created>
  <dc:creator>lnoske</dc:creator>
  <dc:description/>
  <dc:language>en-CA</dc:language>
  <cp:lastModifiedBy>szisman</cp:lastModifiedBy>
  <cp:lastPrinted>1999-04-06T06:15:00Z</cp:lastPrinted>
  <dcterms:modified xsi:type="dcterms:W3CDTF">1999-04-06T19:37:00Z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