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rPr>
          <w:i w:val="false"/>
          <w:i w:val="false"/>
        </w:rPr>
      </w:pPr>
      <w:r>
        <w:rPr>
          <w:i w:val="false"/>
        </w:rPr>
        <w:t xml:space="preserve">E220 </w:t>
        <w:tab/>
        <w:t>Corporate Financial Reporting</w:t>
      </w:r>
    </w:p>
    <w:p>
      <w:pPr>
        <w:pStyle w:val="BodyTextIndent"/>
        <w:ind w:hanging="0" w:start="0" w:end="0"/>
        <w:rPr>
          <w:i w:val="false"/>
          <w:i w:val="false"/>
        </w:rPr>
      </w:pPr>
      <w:r>
        <w:rPr>
          <w:i w:val="false"/>
        </w:rPr>
        <w:t>Case 11-1 Agro Feed Products, Incorporated</w:t>
      </w:r>
    </w:p>
    <w:p>
      <w:pPr>
        <w:pStyle w:val="BodyTextIndent"/>
        <w:ind w:hanging="0" w:start="0" w:end="0"/>
        <w:rPr>
          <w:i w:val="false"/>
          <w:i w:val="false"/>
        </w:rPr>
      </w:pPr>
      <w:r>
        <w:rPr>
          <w:i w:val="false"/>
        </w:rPr>
        <w:t>November 20, 2000</w:t>
      </w:r>
    </w:p>
    <w:p>
      <w:pPr>
        <w:pStyle w:val="BodyTextIndent"/>
        <w:ind w:hanging="0" w:start="0" w:end="0"/>
        <w:rPr>
          <w:i w:val="false"/>
          <w:i w:val="false"/>
        </w:rPr>
      </w:pPr>
      <w:r>
        <w:rPr>
          <w:i w:val="false"/>
        </w:rPr>
        <w:t>Group:</w:t>
        <w:tab/>
        <w:tab/>
        <w:t>Jeff Dasovich</w:t>
      </w:r>
    </w:p>
    <w:p>
      <w:pPr>
        <w:pStyle w:val="BodyTextIndent"/>
        <w:ind w:hanging="0" w:start="0" w:end="0"/>
        <w:rPr>
          <w:i w:val="false"/>
          <w:i w:val="false"/>
        </w:rPr>
      </w:pPr>
      <w:r>
        <w:rPr>
          <w:i w:val="false"/>
        </w:rPr>
        <w:tab/>
        <w:tab/>
        <w:t>James Jackson</w:t>
      </w:r>
    </w:p>
    <w:p>
      <w:pPr>
        <w:pStyle w:val="BodyTextIndent"/>
        <w:ind w:hanging="0" w:start="0" w:end="0"/>
        <w:rPr>
          <w:i w:val="false"/>
          <w:i w:val="false"/>
        </w:rPr>
      </w:pPr>
      <w:r>
        <w:rPr>
          <w:i w:val="false"/>
        </w:rPr>
        <w:tab/>
        <w:tab/>
        <w:t>Kimberly Kupiecki</w:t>
      </w:r>
    </w:p>
    <w:p>
      <w:pPr>
        <w:pStyle w:val="BodyTextIndent"/>
        <w:ind w:hanging="0" w:start="0" w:end="0"/>
        <w:rPr>
          <w:i w:val="false"/>
          <w:i w:val="false"/>
        </w:rPr>
      </w:pPr>
      <w:r>
        <w:rPr>
          <w:i w:val="false"/>
        </w:rPr>
        <w:tab/>
        <w:tab/>
        <w:t>Christine Piesco</w:t>
      </w:r>
    </w:p>
    <w:p>
      <w:pPr>
        <w:pStyle w:val="BodyTextIndent"/>
        <w:ind w:hanging="0" w:start="0" w:end="0"/>
        <w:rPr>
          <w:i w:val="false"/>
          <w:i w:val="false"/>
        </w:rPr>
      </w:pPr>
      <w:r>
        <w:rPr>
          <w:i w:val="false"/>
        </w:rPr>
        <w:tab/>
        <w:tab/>
        <w:t>Dylan Windham</w:t>
      </w:r>
    </w:p>
    <w:p>
      <w:pPr>
        <w:pStyle w:val="BodyTextIndent"/>
        <w:rPr>
          <w:i w:val="false"/>
          <w:i w:val="false"/>
        </w:rPr>
      </w:pPr>
      <w:r>
        <w:rPr>
          <w:i w:val="false"/>
        </w:rPr>
      </w:r>
    </w:p>
    <w:p>
      <w:pPr>
        <w:pStyle w:val="BodyTextIndent"/>
        <w:numPr>
          <w:ilvl w:val="0"/>
          <w:numId w:val="2"/>
        </w:numPr>
        <w:rPr/>
      </w:pPr>
      <w:r>
        <w:rPr/>
        <w:t>How should the liquidation of the Feed Division be reflected in the company’s financial statement?</w:t>
      </w:r>
    </w:p>
    <w:p>
      <w:pPr>
        <w:pStyle w:val="Normal"/>
        <w:ind w:hanging="360" w:start="360" w:end="0"/>
        <w:rPr>
          <w:i/>
          <w:i/>
          <w:sz w:val="24"/>
        </w:rPr>
      </w:pPr>
      <w:r>
        <w:rPr>
          <w:i/>
          <w:sz w:val="24"/>
        </w:rPr>
      </w:r>
    </w:p>
    <w:p>
      <w:pPr>
        <w:pStyle w:val="BodyTextIndent2"/>
        <w:rPr/>
      </w:pPr>
      <w:r>
        <w:rPr/>
        <w:t>Liquidation of the Feed Division represents a discontinuance or disposal of a business segment as defined under APB Opinion No. 30.  As such, Agro should report earnings from the Feed Division separate from continuing operations.  The Feed Division numbers should be reported separately, net of tax, as discontinued operations.  Continuing operations will be added to this new discontinued operations to provide net income.  Agro should also restate the statements of prior periods to disclose the results of the to be disposed segment, less applicable sales tax as a separate component of income before extraordinary items.  Agro management announced the discontinuance of this business April 1995. The loss anticipated by Agro should be provided in this accounting period.  The loss should include the loss projections through the final discontinuance of the business, which is projected to be 1996.</w:t>
      </w:r>
    </w:p>
    <w:p>
      <w:pPr>
        <w:pStyle w:val="BodyTextIndent3"/>
        <w:rPr/>
      </w:pPr>
      <w:r>
        <w:rPr/>
      </w:r>
    </w:p>
    <w:p>
      <w:pPr>
        <w:pStyle w:val="Normal"/>
        <w:ind w:hanging="360" w:start="360" w:end="0"/>
        <w:rPr>
          <w:sz w:val="24"/>
        </w:rPr>
      </w:pPr>
      <w:r>
        <w:rPr>
          <w:sz w:val="24"/>
        </w:rPr>
      </w:r>
    </w:p>
    <w:p>
      <w:pPr>
        <w:pStyle w:val="Normal"/>
        <w:ind w:hanging="360" w:start="360" w:end="0"/>
        <w:rPr>
          <w:i/>
          <w:i/>
          <w:sz w:val="24"/>
        </w:rPr>
      </w:pPr>
      <w:r>
        <w:rPr>
          <w:i/>
          <w:sz w:val="24"/>
        </w:rPr>
      </w:r>
    </w:p>
    <w:p>
      <w:pPr>
        <w:pStyle w:val="Normal"/>
        <w:numPr>
          <w:ilvl w:val="0"/>
          <w:numId w:val="2"/>
        </w:numPr>
        <w:rPr>
          <w:i/>
          <w:i/>
          <w:sz w:val="24"/>
        </w:rPr>
      </w:pPr>
      <w:r>
        <w:rPr>
          <w:i/>
          <w:sz w:val="24"/>
        </w:rPr>
        <w:t>How should the company account for the other items on the audit committee’s agenda?</w:t>
      </w:r>
    </w:p>
    <w:p>
      <w:pPr>
        <w:pStyle w:val="Normal"/>
        <w:rPr>
          <w:i/>
          <w:i/>
          <w:sz w:val="24"/>
        </w:rPr>
      </w:pPr>
      <w:r>
        <w:rPr>
          <w:i/>
          <w:sz w:val="24"/>
        </w:rPr>
      </w:r>
    </w:p>
    <w:p>
      <w:pPr>
        <w:pStyle w:val="Normal"/>
        <w:ind w:start="360" w:end="0"/>
        <w:rPr>
          <w:sz w:val="24"/>
        </w:rPr>
      </w:pPr>
      <w:r>
        <w:rPr>
          <w:sz w:val="24"/>
        </w:rPr>
        <w:t xml:space="preserve">Write-off of foreign subsidiary’s inventories: </w:t>
      </w:r>
    </w:p>
    <w:p>
      <w:pPr>
        <w:pStyle w:val="Normal"/>
        <w:ind w:start="360" w:end="0"/>
        <w:rPr>
          <w:sz w:val="24"/>
        </w:rPr>
      </w:pPr>
      <w:r>
        <w:rPr>
          <w:sz w:val="24"/>
        </w:rPr>
      </w:r>
    </w:p>
    <w:p>
      <w:pPr>
        <w:pStyle w:val="BodyTextIndent2"/>
        <w:rPr/>
      </w:pPr>
      <w:r>
        <w:rPr/>
        <w:t>Without specific knowledge of the history of regulations in the European market, it is difficult to know if this event was Extraordinary.  APB Opinion No. 30 requires that the transaction is unusual in nature and infrequent in occurrence.  If the history of the industry displays that it is unusual for the government to take such an action and no such action has been taken in the recent past, the re-valuation of the foreign held inventory that was based on a government ruling could be classified as extraordinary.  The litigation had been ongoing for several years and no provision was made for the possible change in regulations.  It is obvious that the company had been surprised by the decision.  This can be seen as different from a simple inventory write-down due to a change in market factors and therefore is translated into a one time extraordinary event.  Since the European countries are trying to set consistent standards (especially in food items), any changes in other country’s regulations should be anticipated and therefore would not be allowed as an extraordinary charge.  The litigation costs are ongoing and should have been charged as an operating expense in the periods in which they were incurred.</w:t>
      </w:r>
    </w:p>
    <w:p>
      <w:pPr>
        <w:pStyle w:val="Normal"/>
        <w:ind w:start="360" w:end="0"/>
        <w:rPr>
          <w:sz w:val="24"/>
          <w:u w:val="single"/>
        </w:rPr>
      </w:pPr>
      <w:r>
        <w:rPr>
          <w:sz w:val="24"/>
          <w:u w:val="single"/>
        </w:rPr>
      </w:r>
    </w:p>
    <w:p>
      <w:pPr>
        <w:pStyle w:val="Normal"/>
        <w:ind w:start="360" w:end="0"/>
        <w:rPr/>
      </w:pPr>
      <w:r>
        <w:rPr>
          <w:sz w:val="24"/>
          <w:u w:val="single"/>
        </w:rPr>
        <w:t>Extend the depreciation life of some domestic depreciable assets</w:t>
      </w:r>
      <w:r>
        <w:rPr>
          <w:sz w:val="24"/>
        </w:rPr>
        <w:t>:</w:t>
      </w:r>
    </w:p>
    <w:p>
      <w:pPr>
        <w:pStyle w:val="Normal"/>
        <w:ind w:start="360" w:end="0"/>
        <w:rPr>
          <w:sz w:val="24"/>
          <w:u w:val="single"/>
        </w:rPr>
      </w:pPr>
      <w:r>
        <w:rPr>
          <w:sz w:val="24"/>
          <w:u w:val="single"/>
        </w:rPr>
      </w:r>
    </w:p>
    <w:p>
      <w:pPr>
        <w:pStyle w:val="Normal"/>
        <w:ind w:start="360" w:end="0"/>
        <w:rPr>
          <w:sz w:val="24"/>
        </w:rPr>
      </w:pPr>
      <w:r>
        <w:rPr>
          <w:sz w:val="24"/>
        </w:rPr>
        <w:t>Agro is only changing the depreciation period on newly acquired assets (after March 1995).  They are required to disclose the nature of the change and the effect on income and earnings per share data.  Agro has determined that the change will increase earnings for the forth quarter by $200,000.  Since the change does not effect prior periods, no Cumulative change in accounting procedures line on the income statement is warranted.</w:t>
      </w:r>
    </w:p>
    <w:p>
      <w:pPr>
        <w:pStyle w:val="Normal"/>
        <w:ind w:start="360" w:end="0"/>
        <w:rPr>
          <w:sz w:val="24"/>
          <w:u w:val="single"/>
        </w:rPr>
      </w:pPr>
      <w:r>
        <w:rPr>
          <w:sz w:val="24"/>
          <w:u w:val="single"/>
        </w:rPr>
      </w:r>
    </w:p>
    <w:p>
      <w:pPr>
        <w:pStyle w:val="Normal"/>
        <w:ind w:start="360" w:end="0"/>
        <w:rPr/>
      </w:pPr>
      <w:r>
        <w:rPr>
          <w:sz w:val="24"/>
          <w:u w:val="single"/>
        </w:rPr>
        <w:t>Out of court settlement of a claim against the company</w:t>
      </w:r>
      <w:r>
        <w:rPr>
          <w:sz w:val="24"/>
        </w:rPr>
        <w:t>:</w:t>
      </w:r>
    </w:p>
    <w:p>
      <w:pPr>
        <w:pStyle w:val="Normal"/>
        <w:ind w:start="360" w:end="0"/>
        <w:rPr>
          <w:sz w:val="24"/>
          <w:u w:val="single"/>
        </w:rPr>
      </w:pPr>
      <w:r>
        <w:rPr>
          <w:sz w:val="24"/>
          <w:u w:val="single"/>
        </w:rPr>
      </w:r>
    </w:p>
    <w:p>
      <w:pPr>
        <w:pStyle w:val="BodyTextIndent2"/>
        <w:rPr/>
      </w:pPr>
      <w:r>
        <w:rPr/>
        <w:t>The court settlement would also be classified as an unusual item.  The loss would be immediately recognized against operating income.  Agro would be required to disclose the effects of this lawsuit in the footnotes.  There was no estimated value for the claim, so no adjustments to contra accounts are required.</w:t>
      </w:r>
    </w:p>
    <w:p>
      <w:pPr>
        <w:pStyle w:val="BodyTextIndent2"/>
        <w:rPr/>
      </w:pPr>
      <w:r>
        <w:rPr/>
      </w:r>
    </w:p>
    <w:p>
      <w:pPr>
        <w:pStyle w:val="Normal"/>
        <w:ind w:start="360" w:end="0"/>
        <w:rPr/>
      </w:pPr>
      <w:r>
        <w:rPr>
          <w:sz w:val="24"/>
          <w:u w:val="single"/>
        </w:rPr>
        <w:t>Destruction of grain storage facility by tornado</w:t>
      </w:r>
      <w:r>
        <w:rPr>
          <w:sz w:val="24"/>
        </w:rPr>
        <w:t>:</w:t>
      </w:r>
    </w:p>
    <w:p>
      <w:pPr>
        <w:pStyle w:val="Normal"/>
        <w:ind w:start="360" w:end="0"/>
        <w:rPr>
          <w:sz w:val="24"/>
          <w:u w:val="single"/>
        </w:rPr>
      </w:pPr>
      <w:r>
        <w:rPr>
          <w:sz w:val="24"/>
          <w:u w:val="single"/>
        </w:rPr>
      </w:r>
    </w:p>
    <w:p>
      <w:pPr>
        <w:pStyle w:val="BodyTextIndent2"/>
        <w:rPr/>
      </w:pPr>
      <w:r>
        <w:rPr/>
        <w:t>This item may classify as an extraordinary item.  The question would be is the item infrequent.  Tornadoes are not uncommon in Kansas.  If statistical data proves the item is infrequent, it would classify as an extraordinary item.  In this case the item would not be included in operating income.  It would be presented as an extraordinary item net of taxes.  If statistical data shows the item is not infrequent, it would be included in operating income.  In either case the effects should be disclosed in the footnotes.</w:t>
      </w:r>
    </w:p>
    <w:p>
      <w:pPr>
        <w:pStyle w:val="Normal"/>
        <w:ind w:start="360" w:end="0"/>
        <w:rPr>
          <w:sz w:val="24"/>
          <w:u w:val="single"/>
        </w:rPr>
      </w:pPr>
      <w:r>
        <w:rPr>
          <w:sz w:val="24"/>
        </w:rPr>
        <w:t xml:space="preserve">  </w:t>
      </w:r>
    </w:p>
    <w:p>
      <w:pPr>
        <w:pStyle w:val="Normal"/>
        <w:ind w:start="360" w:end="0"/>
        <w:rPr/>
      </w:pPr>
      <w:r>
        <w:rPr>
          <w:sz w:val="24"/>
          <w:u w:val="single"/>
        </w:rPr>
        <w:t>Gain on the sale of land</w:t>
      </w:r>
      <w:r>
        <w:rPr>
          <w:sz w:val="24"/>
        </w:rPr>
        <w:t>:</w:t>
      </w:r>
    </w:p>
    <w:p>
      <w:pPr>
        <w:pStyle w:val="Normal"/>
        <w:ind w:start="360" w:end="0"/>
        <w:rPr>
          <w:sz w:val="24"/>
          <w:u w:val="single"/>
        </w:rPr>
      </w:pPr>
      <w:r>
        <w:rPr>
          <w:sz w:val="24"/>
          <w:u w:val="single"/>
        </w:rPr>
      </w:r>
    </w:p>
    <w:p>
      <w:pPr>
        <w:pStyle w:val="Normal"/>
        <w:ind w:start="360" w:end="0"/>
        <w:rPr>
          <w:sz w:val="24"/>
        </w:rPr>
      </w:pPr>
      <w:r>
        <w:rPr>
          <w:sz w:val="24"/>
        </w:rPr>
        <w:t>Under APB Opinion No. 30 the gain or loss on the sale of property is never classified as an extraordinary.  The sale would be immediately included in operating income under the heading of gain from unusual sources.  The sale would also be disclosed in the footnotes.</w:t>
      </w:r>
    </w:p>
    <w:p>
      <w:pPr>
        <w:pStyle w:val="Normal"/>
        <w:rPr>
          <w:sz w:val="24"/>
        </w:rPr>
      </w:pPr>
      <w:r>
        <w:rPr>
          <w:sz w:val="24"/>
        </w:rPr>
      </w:r>
      <w:r>
        <w:br w:type="page"/>
      </w:r>
    </w:p>
    <w:p>
      <w:pPr>
        <w:pStyle w:val="Normal"/>
        <w:rPr>
          <w:sz w:val="24"/>
        </w:rPr>
      </w:pPr>
      <w:r>
        <w:rPr>
          <w:sz w:val="24"/>
        </w:rPr>
      </w:r>
    </w:p>
    <w:p>
      <w:pPr>
        <w:pStyle w:val="BodyText"/>
        <w:ind w:hanging="360" w:start="360" w:end="0"/>
        <w:rPr>
          <w:i/>
          <w:i/>
        </w:rPr>
      </w:pPr>
      <w:r>
        <w:rPr>
          <w:i/>
        </w:rPr>
        <w:t>3.</w:t>
        <w:tab/>
        <w:t>Prepare Agro-Feed's income statement starting with $9.5 million in "income from operations."</w:t>
      </w:r>
    </w:p>
    <w:p>
      <w:pPr>
        <w:pStyle w:val="Normal"/>
        <w:rPr>
          <w:i/>
          <w:i/>
        </w:rPr>
      </w:pPr>
      <w:r>
        <w:rPr>
          <w:i/>
        </w:rPr>
      </w:r>
    </w:p>
    <w:tbl>
      <w:tblPr>
        <w:tblW w:w="9792" w:type="dxa"/>
        <w:jc w:val="start"/>
        <w:tblInd w:w="0" w:type="dxa"/>
        <w:tblLayout w:type="fixed"/>
        <w:tblCellMar>
          <w:top w:w="0" w:type="dxa"/>
          <w:start w:w="30" w:type="dxa"/>
          <w:bottom w:w="0" w:type="dxa"/>
          <w:end w:w="30" w:type="dxa"/>
        </w:tblCellMar>
      </w:tblPr>
      <w:tblGrid>
        <w:gridCol w:w="1214"/>
        <w:gridCol w:w="1008"/>
        <w:gridCol w:w="1008"/>
        <w:gridCol w:w="1008"/>
        <w:gridCol w:w="1181"/>
        <w:gridCol w:w="1138"/>
        <w:gridCol w:w="1008"/>
        <w:gridCol w:w="1137"/>
        <w:gridCol w:w="1090"/>
      </w:tblGrid>
      <w:tr>
        <w:trPr>
          <w:trHeight w:val="250" w:hRule="atLeast"/>
        </w:trPr>
        <w:tc>
          <w:tcPr>
            <w:tcW w:w="1214" w:type="dxa"/>
            <w:tcBorders/>
          </w:tcPr>
          <w:p>
            <w:pPr>
              <w:pStyle w:val="Normal"/>
              <w:rPr>
                <w:i/>
                <w:i/>
                <w:color w:val="000000"/>
                <w:u w:val="single"/>
                <w:lang w:eastAsia="en-US"/>
              </w:rPr>
            </w:pPr>
            <w:r>
              <w:rPr>
                <w:i/>
                <w:color w:val="000000"/>
                <w:u w:val="single"/>
                <w:lang w:eastAsia="en-US"/>
              </w:rPr>
              <w:t>Question 3</w:t>
            </w:r>
          </w:p>
        </w:tc>
        <w:tc>
          <w:tcPr>
            <w:tcW w:w="1008" w:type="dxa"/>
            <w:tcBorders/>
          </w:tcPr>
          <w:p>
            <w:pPr>
              <w:pStyle w:val="Normal"/>
              <w:snapToGrid w:val="false"/>
              <w:jc w:val="end"/>
              <w:rPr>
                <w:i/>
                <w:i/>
                <w:color w:val="000000"/>
                <w:u w:val="single"/>
                <w:lang w:eastAsia="en-US"/>
              </w:rPr>
            </w:pPr>
            <w:r>
              <w:rPr>
                <w:i/>
                <w:color w:val="000000"/>
                <w:u w:val="single"/>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64"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3327" w:type="dxa"/>
            <w:gridSpan w:val="3"/>
            <w:tcBorders>
              <w:bottom w:val="single" w:sz="6" w:space="0" w:color="000000"/>
            </w:tcBorders>
          </w:tcPr>
          <w:p>
            <w:pPr>
              <w:pStyle w:val="Normal"/>
              <w:rPr>
                <w:b/>
                <w:i/>
                <w:i/>
                <w:color w:val="000000"/>
                <w:lang w:eastAsia="en-US"/>
              </w:rPr>
            </w:pPr>
            <w:r>
              <w:rPr>
                <w:b/>
                <w:i/>
                <w:color w:val="000000"/>
                <w:lang w:eastAsia="en-US"/>
              </w:rPr>
              <w:t xml:space="preserve">    </w:t>
            </w:r>
            <w:r>
              <w:rPr>
                <w:b/>
                <w:i/>
                <w:color w:val="000000"/>
                <w:lang w:eastAsia="en-US"/>
              </w:rPr>
              <w:t>AGF INCOME STATEMENT</w:t>
            </w:r>
          </w:p>
        </w:tc>
        <w:tc>
          <w:tcPr>
            <w:tcW w:w="0" w:type="dxa"/>
            <w:vMerge w:val="continue"/>
            <w:tcBorders>
              <w:bottom w:val="single" w:sz="6" w:space="0" w:color="000000"/>
            </w:tcBorders>
          </w:tcPr>
          <w:p>
            <w:pPr>
              <w:pStyle w:val="Normal"/>
              <w:snapToGrid w:val="false"/>
              <w:jc w:val="end"/>
              <w:rPr>
                <w:b/>
                <w:i/>
                <w:i/>
                <w:color w:val="000000"/>
                <w:lang w:eastAsia="en-US"/>
              </w:rPr>
            </w:pPr>
            <w:r>
              <w:rPr>
                <w:b/>
                <w:i/>
                <w:color w:val="000000"/>
                <w:lang w:eastAsia="en-US"/>
              </w:rPr>
            </w:r>
          </w:p>
        </w:tc>
        <w:tc>
          <w:tcPr>
            <w:tcW w:w="0" w:type="dxa"/>
            <w:vMerge w:val="continue"/>
            <w:tcBorders>
              <w:bottom w:val="single" w:sz="6" w:space="0" w:color="000000"/>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bottom w:val="single" w:sz="6" w:space="0" w:color="000000"/>
            </w:tcBorders>
          </w:tcPr>
          <w:p>
            <w:pPr>
              <w:pStyle w:val="Normal"/>
              <w:jc w:val="center"/>
              <w:rPr>
                <w:b/>
                <w:color w:val="000000"/>
                <w:lang w:eastAsia="en-US"/>
              </w:rPr>
            </w:pPr>
            <w:r>
              <w:rPr>
                <w:b/>
                <w:color w:val="000000"/>
                <w:lang w:eastAsia="en-US"/>
              </w:rPr>
              <w:t xml:space="preserve">1995 </w:t>
            </w:r>
          </w:p>
        </w:tc>
      </w:tr>
      <w:tr>
        <w:trPr>
          <w:trHeight w:val="250" w:hRule="atLeast"/>
        </w:trPr>
        <w:tc>
          <w:tcPr>
            <w:tcW w:w="4238" w:type="dxa"/>
            <w:gridSpan w:val="4"/>
            <w:tcBorders/>
          </w:tcPr>
          <w:p>
            <w:pPr>
              <w:pStyle w:val="Normal"/>
              <w:rPr>
                <w:b/>
                <w:color w:val="000000"/>
                <w:lang w:eastAsia="en-US"/>
              </w:rPr>
            </w:pPr>
            <w:r>
              <w:rPr>
                <w:b/>
                <w:color w:val="000000"/>
                <w:lang w:eastAsia="en-US"/>
              </w:rPr>
              <w:t>Income from continuing operations ($000)</w:t>
            </w:r>
          </w:p>
        </w:tc>
        <w:tc>
          <w:tcPr>
            <w:tcW w:w="0" w:type="dxa"/>
            <w:vMerge w:val="continue"/>
            <w:tcBorders/>
          </w:tcPr>
          <w:p>
            <w:pPr>
              <w:pStyle w:val="Normal"/>
              <w:snapToGrid w:val="false"/>
              <w:jc w:val="end"/>
              <w:rPr>
                <w:b/>
                <w:color w:val="000000"/>
                <w:lang w:eastAsia="en-US"/>
              </w:rPr>
            </w:pPr>
            <w:r>
              <w:rPr>
                <w:b/>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jc w:val="end"/>
              <w:rPr>
                <w:color w:val="000000"/>
                <w:lang w:eastAsia="en-US"/>
              </w:rPr>
            </w:pPr>
            <w:r>
              <w:rPr>
                <w:color w:val="000000"/>
                <w:lang w:eastAsia="en-US"/>
              </w:rPr>
              <w:t xml:space="preserve"> </w:t>
            </w:r>
            <w:r>
              <w:rPr>
                <w:color w:val="000000"/>
                <w:lang w:eastAsia="en-US"/>
              </w:rPr>
              <w:t xml:space="preserve">$        9,500 </w:t>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2222" w:type="dxa"/>
            <w:gridSpan w:val="2"/>
            <w:tcBorders/>
          </w:tcPr>
          <w:p>
            <w:pPr>
              <w:pStyle w:val="Normal"/>
              <w:rPr>
                <w:b/>
                <w:color w:val="000000"/>
                <w:lang w:eastAsia="en-US"/>
              </w:rPr>
            </w:pPr>
            <w:r>
              <w:rPr>
                <w:b/>
                <w:color w:val="000000"/>
                <w:lang w:eastAsia="en-US"/>
              </w:rPr>
              <w:t>Discontinued operations:</w:t>
            </w:r>
          </w:p>
        </w:tc>
        <w:tc>
          <w:tcPr>
            <w:tcW w:w="0" w:type="dxa"/>
            <w:vMerge w:val="continue"/>
            <w:tcBorders/>
          </w:tcPr>
          <w:p>
            <w:pPr>
              <w:pStyle w:val="Normal"/>
              <w:snapToGrid w:val="false"/>
              <w:jc w:val="end"/>
              <w:rPr>
                <w:b/>
                <w:color w:val="000000"/>
                <w:lang w:eastAsia="en-US"/>
              </w:rPr>
            </w:pPr>
            <w:r>
              <w:rPr>
                <w:b/>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Estimated future additional uncollectible receivables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2,036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Lossses and write-down of land, building, and equipment</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 xml:space="preserve">   </w:t>
            </w:r>
            <w:r>
              <w:rPr>
                <w:color w:val="000000"/>
                <w:lang w:eastAsia="en-US"/>
              </w:rPr>
              <w:t>Recorded between measurement date and end of fiscal year</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1,465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4238" w:type="dxa"/>
            <w:gridSpan w:val="4"/>
            <w:tcBorders/>
          </w:tcPr>
          <w:p>
            <w:pPr>
              <w:pStyle w:val="Normal"/>
              <w:rPr>
                <w:color w:val="000000"/>
                <w:lang w:eastAsia="en-US"/>
              </w:rPr>
            </w:pPr>
            <w:r>
              <w:rPr>
                <w:color w:val="000000"/>
                <w:lang w:eastAsia="en-US"/>
              </w:rPr>
              <w:t xml:space="preserve">   </w:t>
            </w:r>
            <w:r>
              <w:rPr>
                <w:color w:val="000000"/>
                <w:lang w:eastAsia="en-US"/>
              </w:rPr>
              <w:t>Estimated further losses in future dispositions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6,868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Costs and expenses related to discontinuance of operations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 xml:space="preserve">   </w:t>
            </w:r>
            <w:r>
              <w:rPr>
                <w:color w:val="000000"/>
                <w:lang w:eastAsia="en-US"/>
              </w:rPr>
              <w:t>Incurred between measurement date and end of fiscal year</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2,295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 xml:space="preserve">   </w:t>
            </w:r>
            <w:r>
              <w:rPr>
                <w:color w:val="000000"/>
                <w:lang w:eastAsia="en-US"/>
              </w:rPr>
              <w:t>Estimated future liquidation costs, including fiscal year 1996</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bottom w:val="single" w:sz="6" w:space="0" w:color="000000"/>
            </w:tcBorders>
          </w:tcPr>
          <w:p>
            <w:pPr>
              <w:pStyle w:val="Normal"/>
              <w:jc w:val="end"/>
              <w:rPr>
                <w:color w:val="000000"/>
                <w:lang w:eastAsia="en-US"/>
              </w:rPr>
            </w:pPr>
            <w:r>
              <w:rPr>
                <w:color w:val="000000"/>
                <w:lang w:eastAsia="en-US"/>
              </w:rPr>
              <w:t xml:space="preserve">            </w:t>
            </w:r>
            <w:r>
              <w:rPr>
                <w:color w:val="000000"/>
                <w:lang w:eastAsia="en-US"/>
              </w:rPr>
              <w:t xml:space="preserve">2,803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Total costs associated with discontinued operations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15,467 </w:t>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222" w:type="dxa"/>
            <w:gridSpan w:val="2"/>
            <w:tcBorders/>
          </w:tcPr>
          <w:p>
            <w:pPr>
              <w:pStyle w:val="Normal"/>
              <w:rPr>
                <w:color w:val="000000"/>
                <w:lang w:eastAsia="en-US"/>
              </w:rPr>
            </w:pPr>
            <w:r>
              <w:rPr>
                <w:color w:val="000000"/>
                <w:lang w:eastAsia="en-US"/>
              </w:rPr>
              <w:t>Less income tax credits</w:t>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bottom w:val="single" w:sz="6" w:space="0" w:color="000000"/>
            </w:tcBorders>
          </w:tcPr>
          <w:p>
            <w:pPr>
              <w:pStyle w:val="Normal"/>
              <w:jc w:val="end"/>
              <w:rPr>
                <w:color w:val="000000"/>
                <w:lang w:eastAsia="en-US"/>
              </w:rPr>
            </w:pPr>
            <w:r>
              <w:rPr>
                <w:color w:val="000000"/>
                <w:lang w:eastAsia="en-US"/>
              </w:rPr>
              <w:t xml:space="preserve">          </w:t>
            </w:r>
            <w:r>
              <w:rPr>
                <w:color w:val="000000"/>
                <w:lang w:eastAsia="en-US"/>
              </w:rPr>
              <w:t xml:space="preserve">11,028 </w:t>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230" w:type="dxa"/>
            <w:gridSpan w:val="3"/>
            <w:tcBorders/>
          </w:tcPr>
          <w:p>
            <w:pPr>
              <w:pStyle w:val="Normal"/>
              <w:rPr>
                <w:color w:val="000000"/>
                <w:lang w:eastAsia="en-US"/>
              </w:rPr>
            </w:pPr>
            <w:r>
              <w:rPr>
                <w:color w:val="000000"/>
                <w:lang w:eastAsia="en-US"/>
              </w:rPr>
              <w:t>Total after income credits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4,439 </w:t>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121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b/>
                <w:color w:val="000000"/>
                <w:lang w:eastAsia="en-US"/>
              </w:rPr>
            </w:pPr>
            <w:r>
              <w:rPr>
                <w:b/>
                <w:color w:val="000000"/>
                <w:lang w:eastAsia="en-US"/>
              </w:rPr>
              <w:t>Income before unusual items, extraordinary items and effect</w:t>
            </w:r>
          </w:p>
        </w:tc>
        <w:tc>
          <w:tcPr>
            <w:tcW w:w="0" w:type="dxa"/>
            <w:vMerge w:val="continue"/>
            <w:tcBorders/>
          </w:tcPr>
          <w:p>
            <w:pPr>
              <w:pStyle w:val="Normal"/>
              <w:snapToGrid w:val="false"/>
              <w:jc w:val="end"/>
              <w:rPr>
                <w:b/>
                <w:color w:val="000000"/>
                <w:lang w:eastAsia="en-US"/>
              </w:rPr>
            </w:pPr>
            <w:r>
              <w:rPr>
                <w:b/>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2222" w:type="dxa"/>
            <w:gridSpan w:val="2"/>
            <w:tcBorders/>
          </w:tcPr>
          <w:p>
            <w:pPr>
              <w:pStyle w:val="Normal"/>
              <w:rPr>
                <w:b/>
                <w:color w:val="000000"/>
                <w:lang w:eastAsia="en-US"/>
              </w:rPr>
            </w:pPr>
            <w:r>
              <w:rPr>
                <w:b/>
                <w:color w:val="000000"/>
                <w:lang w:eastAsia="en-US"/>
              </w:rPr>
              <w:t xml:space="preserve">   </w:t>
            </w:r>
            <w:r>
              <w:rPr>
                <w:b/>
                <w:color w:val="000000"/>
                <w:lang w:eastAsia="en-US"/>
              </w:rPr>
              <w:t>of accounting changes:</w:t>
            </w:r>
          </w:p>
        </w:tc>
        <w:tc>
          <w:tcPr>
            <w:tcW w:w="0" w:type="dxa"/>
            <w:vMerge w:val="continue"/>
            <w:tcBorders/>
          </w:tcPr>
          <w:p>
            <w:pPr>
              <w:pStyle w:val="Normal"/>
              <w:snapToGrid w:val="false"/>
              <w:jc w:val="end"/>
              <w:rPr>
                <w:b/>
                <w:color w:val="000000"/>
                <w:lang w:eastAsia="en-US"/>
              </w:rPr>
            </w:pPr>
            <w:r>
              <w:rPr>
                <w:b/>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jc w:val="end"/>
              <w:rPr>
                <w:color w:val="000000"/>
                <w:lang w:eastAsia="en-US"/>
              </w:rPr>
            </w:pPr>
            <w:r>
              <w:rPr>
                <w:color w:val="000000"/>
                <w:lang w:eastAsia="en-US"/>
              </w:rPr>
              <w:t xml:space="preserve">           </w:t>
            </w:r>
            <w:r>
              <w:rPr>
                <w:color w:val="000000"/>
                <w:lang w:eastAsia="en-US"/>
              </w:rPr>
              <w:t xml:space="preserve">5,061 </w:t>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Unusual loss from government ban of certain preservatives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3230" w:type="dxa"/>
            <w:gridSpan w:val="3"/>
            <w:tcBorders/>
          </w:tcPr>
          <w:p>
            <w:pPr>
              <w:pStyle w:val="Normal"/>
              <w:rPr>
                <w:color w:val="000000"/>
                <w:lang w:eastAsia="en-US"/>
              </w:rPr>
            </w:pPr>
            <w:r>
              <w:rPr>
                <w:color w:val="000000"/>
                <w:lang w:eastAsia="en-US"/>
              </w:rPr>
              <w:t xml:space="preserve">   </w:t>
            </w:r>
            <w:r>
              <w:rPr>
                <w:color w:val="000000"/>
                <w:lang w:eastAsia="en-US"/>
              </w:rPr>
              <w:t>Cost of inventory write down</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500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4238" w:type="dxa"/>
            <w:gridSpan w:val="4"/>
            <w:tcBorders/>
          </w:tcPr>
          <w:p>
            <w:pPr>
              <w:pStyle w:val="Normal"/>
              <w:rPr>
                <w:color w:val="000000"/>
                <w:lang w:eastAsia="en-US"/>
              </w:rPr>
            </w:pPr>
            <w:r>
              <w:rPr>
                <w:color w:val="000000"/>
                <w:lang w:eastAsia="en-US"/>
              </w:rPr>
              <w:t xml:space="preserve">   </w:t>
            </w:r>
            <w:r>
              <w:rPr>
                <w:color w:val="000000"/>
                <w:lang w:eastAsia="en-US"/>
              </w:rPr>
              <w:t>Costs associated with switching products</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300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5419" w:type="dxa"/>
            <w:gridSpan w:val="5"/>
            <w:tcBorders/>
          </w:tcPr>
          <w:p>
            <w:pPr>
              <w:pStyle w:val="Normal"/>
              <w:rPr>
                <w:color w:val="000000"/>
                <w:lang w:eastAsia="en-US"/>
              </w:rPr>
            </w:pPr>
            <w:r>
              <w:rPr>
                <w:color w:val="000000"/>
                <w:lang w:eastAsia="en-US"/>
              </w:rPr>
              <w:t xml:space="preserve">   </w:t>
            </w:r>
            <w:r>
              <w:rPr>
                <w:color w:val="000000"/>
                <w:lang w:eastAsia="en-US"/>
              </w:rPr>
              <w:t>Litigation costs associated with government action</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bottom w:val="single" w:sz="6" w:space="0" w:color="000000"/>
            </w:tcBorders>
          </w:tcPr>
          <w:p>
            <w:pPr>
              <w:pStyle w:val="Normal"/>
              <w:jc w:val="end"/>
              <w:rPr>
                <w:color w:val="000000"/>
                <w:lang w:eastAsia="en-US"/>
              </w:rPr>
            </w:pPr>
            <w:r>
              <w:rPr>
                <w:color w:val="000000"/>
                <w:lang w:eastAsia="en-US"/>
              </w:rPr>
              <w:t xml:space="preserve">                 </w:t>
            </w:r>
            <w:r>
              <w:rPr>
                <w:color w:val="000000"/>
                <w:lang w:eastAsia="en-US"/>
              </w:rPr>
              <w:t xml:space="preserve">75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4238" w:type="dxa"/>
            <w:gridSpan w:val="4"/>
            <w:tcBorders/>
          </w:tcPr>
          <w:p>
            <w:pPr>
              <w:pStyle w:val="Normal"/>
              <w:rPr>
                <w:color w:val="000000"/>
                <w:lang w:eastAsia="en-US"/>
              </w:rPr>
            </w:pPr>
            <w:r>
              <w:rPr>
                <w:color w:val="000000"/>
                <w:lang w:eastAsia="en-US"/>
              </w:rPr>
              <w:t xml:space="preserve">   </w:t>
            </w:r>
            <w:r>
              <w:rPr>
                <w:color w:val="000000"/>
                <w:lang w:eastAsia="en-US"/>
              </w:rPr>
              <w:t>Total losses resulting from government action</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875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3230" w:type="dxa"/>
            <w:gridSpan w:val="3"/>
            <w:tcBorders/>
          </w:tcPr>
          <w:p>
            <w:pPr>
              <w:pStyle w:val="Normal"/>
              <w:snapToGrid w:val="false"/>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6557" w:type="dxa"/>
            <w:gridSpan w:val="6"/>
            <w:tcBorders/>
          </w:tcPr>
          <w:p>
            <w:pPr>
              <w:pStyle w:val="Normal"/>
              <w:rPr>
                <w:color w:val="000000"/>
                <w:lang w:eastAsia="en-US"/>
              </w:rPr>
            </w:pPr>
            <w:r>
              <w:rPr>
                <w:color w:val="000000"/>
                <w:lang w:eastAsia="en-US"/>
              </w:rPr>
              <w:t>Unusual loss from settlement associated with consumer class action suit</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bottom w:val="single" w:sz="6" w:space="0" w:color="000000"/>
            </w:tcBorders>
          </w:tcPr>
          <w:p>
            <w:pPr>
              <w:pStyle w:val="Normal"/>
              <w:jc w:val="end"/>
              <w:rPr>
                <w:color w:val="000000"/>
                <w:lang w:eastAsia="en-US"/>
              </w:rPr>
            </w:pPr>
            <w:r>
              <w:rPr>
                <w:color w:val="000000"/>
                <w:lang w:eastAsia="en-US"/>
              </w:rPr>
              <w:t xml:space="preserve">               </w:t>
            </w:r>
            <w:r>
              <w:rPr>
                <w:color w:val="000000"/>
                <w:lang w:eastAsia="en-US"/>
              </w:rPr>
              <w:t xml:space="preserve">250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4238" w:type="dxa"/>
            <w:gridSpan w:val="4"/>
            <w:tcBorders/>
          </w:tcPr>
          <w:p>
            <w:pPr>
              <w:pStyle w:val="Normal"/>
              <w:rPr>
                <w:color w:val="000000"/>
                <w:lang w:eastAsia="en-US"/>
              </w:rPr>
            </w:pPr>
            <w:r>
              <w:rPr>
                <w:color w:val="000000"/>
                <w:lang w:eastAsia="en-US"/>
              </w:rPr>
              <w:t xml:space="preserve">   </w:t>
            </w:r>
            <w:r>
              <w:rPr>
                <w:color w:val="000000"/>
                <w:lang w:eastAsia="en-US"/>
              </w:rPr>
              <w:t>Net effect of unusual gains and losses Total</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jc w:val="end"/>
              <w:rPr>
                <w:color w:val="000000"/>
                <w:lang w:eastAsia="en-US"/>
              </w:rPr>
            </w:pPr>
            <w:r>
              <w:rPr>
                <w:color w:val="000000"/>
                <w:lang w:eastAsia="en-US"/>
              </w:rPr>
              <w:t xml:space="preserve">               </w:t>
            </w:r>
            <w:r>
              <w:rPr>
                <w:color w:val="000000"/>
                <w:lang w:eastAsia="en-US"/>
              </w:rPr>
              <w:t xml:space="preserve">375 </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6557" w:type="dxa"/>
            <w:gridSpan w:val="6"/>
            <w:tcBorders/>
          </w:tcPr>
          <w:p>
            <w:pPr>
              <w:pStyle w:val="Normal"/>
              <w:rPr>
                <w:b/>
                <w:color w:val="000000"/>
                <w:lang w:eastAsia="en-US"/>
              </w:rPr>
            </w:pPr>
            <w:r>
              <w:rPr>
                <w:b/>
                <w:color w:val="000000"/>
                <w:lang w:eastAsia="en-US"/>
              </w:rPr>
              <w:t>Income before extraordinary items and effect of accounting changes:</w:t>
            </w:r>
          </w:p>
        </w:tc>
        <w:tc>
          <w:tcPr>
            <w:tcW w:w="0" w:type="dxa"/>
            <w:vMerge w:val="continue"/>
            <w:tcBorders/>
          </w:tcPr>
          <w:p>
            <w:pPr>
              <w:pStyle w:val="Normal"/>
              <w:snapToGrid w:val="false"/>
              <w:jc w:val="end"/>
              <w:rPr>
                <w:b/>
                <w:color w:val="000000"/>
                <w:lang w:eastAsia="en-US"/>
              </w:rPr>
            </w:pPr>
            <w:r>
              <w:rPr>
                <w:b/>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tcPr>
          <w:p>
            <w:pPr>
              <w:pStyle w:val="Normal"/>
              <w:jc w:val="end"/>
              <w:rPr>
                <w:color w:val="000000"/>
                <w:lang w:eastAsia="en-US"/>
              </w:rPr>
            </w:pPr>
            <w:r>
              <w:rPr>
                <w:color w:val="000000"/>
                <w:lang w:eastAsia="en-US"/>
              </w:rPr>
              <w:t xml:space="preserve">           </w:t>
            </w:r>
            <w:r>
              <w:rPr>
                <w:color w:val="000000"/>
                <w:lang w:eastAsia="en-US"/>
              </w:rPr>
              <w:t xml:space="preserve">4,686 </w:t>
            </w:r>
          </w:p>
        </w:tc>
      </w:tr>
      <w:tr>
        <w:trPr>
          <w:trHeight w:val="250" w:hRule="atLeast"/>
        </w:trPr>
        <w:tc>
          <w:tcPr>
            <w:tcW w:w="4238" w:type="dxa"/>
            <w:gridSpan w:val="4"/>
            <w:tcBorders/>
          </w:tcPr>
          <w:p>
            <w:pPr>
              <w:pStyle w:val="Normal"/>
              <w:rPr>
                <w:color w:val="000000"/>
                <w:lang w:eastAsia="en-US"/>
              </w:rPr>
            </w:pPr>
            <w:r>
              <w:rPr>
                <w:color w:val="000000"/>
                <w:lang w:eastAsia="en-US"/>
              </w:rPr>
              <w:t>Extraordinary loss due to tornado damage</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bottom w:val="single" w:sz="6" w:space="0" w:color="000000"/>
            </w:tcBorders>
          </w:tcPr>
          <w:p>
            <w:pPr>
              <w:pStyle w:val="Normal"/>
              <w:jc w:val="end"/>
              <w:rPr>
                <w:color w:val="000000"/>
                <w:lang w:eastAsia="en-US"/>
              </w:rPr>
            </w:pPr>
            <w:r>
              <w:rPr>
                <w:color w:val="000000"/>
                <w:lang w:eastAsia="en-US"/>
              </w:rPr>
              <w:t>135</w:t>
            </w:r>
          </w:p>
        </w:tc>
        <w:tc>
          <w:tcPr>
            <w:tcW w:w="1090" w:type="dxa"/>
            <w:tcBorders/>
          </w:tcPr>
          <w:p>
            <w:pPr>
              <w:pStyle w:val="Normal"/>
              <w:snapToGrid w:val="false"/>
              <w:jc w:val="end"/>
              <w:rPr>
                <w:color w:val="000000"/>
                <w:lang w:eastAsia="en-US"/>
              </w:rPr>
            </w:pPr>
            <w:r>
              <w:rPr>
                <w:color w:val="000000"/>
                <w:lang w:eastAsia="en-US"/>
              </w:rPr>
            </w:r>
          </w:p>
        </w:tc>
      </w:tr>
      <w:tr>
        <w:trPr>
          <w:trHeight w:val="250" w:hRule="atLeast"/>
        </w:trPr>
        <w:tc>
          <w:tcPr>
            <w:tcW w:w="121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4238" w:type="dxa"/>
            <w:gridSpan w:val="4"/>
            <w:tcBorders/>
          </w:tcPr>
          <w:p>
            <w:pPr>
              <w:pStyle w:val="Normal"/>
              <w:rPr>
                <w:b/>
                <w:color w:val="000000"/>
                <w:lang w:eastAsia="en-US"/>
              </w:rPr>
            </w:pPr>
            <w:r>
              <w:rPr>
                <w:b/>
                <w:color w:val="000000"/>
                <w:lang w:eastAsia="en-US"/>
              </w:rPr>
              <w:t>Income before effect of accounting changes:</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jc w:val="end"/>
              <w:rPr>
                <w:color w:val="000000"/>
                <w:lang w:eastAsia="en-US"/>
              </w:rPr>
            </w:pPr>
            <w:r>
              <w:rPr>
                <w:color w:val="000000"/>
                <w:lang w:eastAsia="en-US"/>
              </w:rPr>
              <w:t xml:space="preserve">           </w:t>
            </w:r>
            <w:r>
              <w:rPr>
                <w:color w:val="000000"/>
                <w:lang w:eastAsia="en-US"/>
              </w:rPr>
              <w:t xml:space="preserve">4,551 </w:t>
            </w:r>
          </w:p>
        </w:tc>
      </w:tr>
      <w:tr>
        <w:trPr>
          <w:trHeight w:val="250" w:hRule="atLeast"/>
        </w:trPr>
        <w:tc>
          <w:tcPr>
            <w:tcW w:w="121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6557" w:type="dxa"/>
            <w:gridSpan w:val="6"/>
            <w:tcBorders/>
          </w:tcPr>
          <w:p>
            <w:pPr>
              <w:pStyle w:val="Normal"/>
              <w:rPr>
                <w:color w:val="000000"/>
                <w:lang w:eastAsia="en-US"/>
              </w:rPr>
            </w:pPr>
            <w:r>
              <w:rPr>
                <w:color w:val="000000"/>
                <w:lang w:eastAsia="en-US"/>
              </w:rPr>
              <w:t>Extraordinary gain due to one-time change in accounting principle</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6557" w:type="dxa"/>
            <w:gridSpan w:val="6"/>
            <w:tcBorders/>
          </w:tcPr>
          <w:p>
            <w:pPr>
              <w:pStyle w:val="Normal"/>
              <w:rPr>
                <w:color w:val="000000"/>
                <w:lang w:eastAsia="en-US"/>
              </w:rPr>
            </w:pPr>
            <w:r>
              <w:rPr>
                <w:color w:val="000000"/>
                <w:lang w:eastAsia="en-US"/>
              </w:rPr>
              <w:t xml:space="preserve">   </w:t>
            </w:r>
            <w:r>
              <w:rPr>
                <w:color w:val="000000"/>
                <w:lang w:eastAsia="en-US"/>
              </w:rPr>
              <w:t>associated with depreciation of assets acquired after March 1995</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bottom w:val="single" w:sz="6" w:space="0" w:color="000000"/>
            </w:tcBorders>
          </w:tcPr>
          <w:p>
            <w:pPr>
              <w:pStyle w:val="Normal"/>
              <w:jc w:val="end"/>
              <w:rPr>
                <w:color w:val="000000"/>
                <w:lang w:eastAsia="en-US"/>
              </w:rPr>
            </w:pPr>
            <w:r>
              <w:rPr>
                <w:color w:val="000000"/>
                <w:lang w:eastAsia="en-US"/>
              </w:rPr>
              <w:t>200</w:t>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121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4" w:hRule="atLeast"/>
        </w:trPr>
        <w:tc>
          <w:tcPr>
            <w:tcW w:w="1214" w:type="dxa"/>
            <w:tcBorders/>
          </w:tcPr>
          <w:p>
            <w:pPr>
              <w:pStyle w:val="Normal"/>
              <w:rPr>
                <w:b/>
                <w:color w:val="000000"/>
                <w:lang w:eastAsia="en-US"/>
              </w:rPr>
            </w:pPr>
            <w:r>
              <w:rPr>
                <w:b/>
                <w:color w:val="000000"/>
                <w:lang w:eastAsia="en-US"/>
              </w:rPr>
              <w:t>Net Income</w:t>
            </w:r>
          </w:p>
        </w:tc>
        <w:tc>
          <w:tcPr>
            <w:tcW w:w="1008" w:type="dxa"/>
            <w:tcBorders/>
          </w:tcPr>
          <w:p>
            <w:pPr>
              <w:pStyle w:val="Normal"/>
              <w:snapToGrid w:val="false"/>
              <w:jc w:val="end"/>
              <w:rPr>
                <w:b/>
                <w:color w:val="000000"/>
                <w:lang w:eastAsia="en-US"/>
              </w:rPr>
            </w:pPr>
            <w:r>
              <w:rPr>
                <w:b/>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81" w:type="dxa"/>
            <w:tcBorders/>
          </w:tcPr>
          <w:p>
            <w:pPr>
              <w:pStyle w:val="Normal"/>
              <w:snapToGrid w:val="false"/>
              <w:jc w:val="end"/>
              <w:rPr>
                <w:color w:val="000000"/>
                <w:lang w:eastAsia="en-US"/>
              </w:rPr>
            </w:pPr>
            <w:r>
              <w:rPr>
                <w:color w:val="000000"/>
                <w:lang w:eastAsia="en-US"/>
              </w:rPr>
            </w:r>
          </w:p>
        </w:tc>
        <w:tc>
          <w:tcPr>
            <w:tcW w:w="1138" w:type="dxa"/>
            <w:tcBorders/>
          </w:tcPr>
          <w:p>
            <w:pPr>
              <w:pStyle w:val="Normal"/>
              <w:snapToGrid w:val="false"/>
              <w:jc w:val="end"/>
              <w:rPr>
                <w:color w:val="000000"/>
                <w:lang w:eastAsia="en-US"/>
              </w:rPr>
            </w:pPr>
            <w:r>
              <w:rPr>
                <w:color w:val="000000"/>
                <w:lang w:eastAsia="en-US"/>
              </w:rPr>
            </w:r>
          </w:p>
        </w:tc>
        <w:tc>
          <w:tcPr>
            <w:tcW w:w="1008" w:type="dxa"/>
            <w:tcBorders/>
          </w:tcPr>
          <w:p>
            <w:pPr>
              <w:pStyle w:val="Normal"/>
              <w:snapToGrid w:val="false"/>
              <w:jc w:val="end"/>
              <w:rPr>
                <w:color w:val="000000"/>
                <w:lang w:eastAsia="en-US"/>
              </w:rPr>
            </w:pPr>
            <w:r>
              <w:rPr>
                <w:color w:val="000000"/>
                <w:lang w:eastAsia="en-US"/>
              </w:rPr>
            </w:r>
          </w:p>
        </w:tc>
        <w:tc>
          <w:tcPr>
            <w:tcW w:w="1137" w:type="dxa"/>
            <w:tcBorders/>
          </w:tcPr>
          <w:p>
            <w:pPr>
              <w:pStyle w:val="Normal"/>
              <w:snapToGrid w:val="false"/>
              <w:jc w:val="end"/>
              <w:rPr>
                <w:color w:val="000000"/>
                <w:lang w:eastAsia="en-US"/>
              </w:rPr>
            </w:pPr>
            <w:r>
              <w:rPr>
                <w:color w:val="000000"/>
                <w:lang w:eastAsia="en-US"/>
              </w:rPr>
            </w:r>
          </w:p>
        </w:tc>
        <w:tc>
          <w:tcPr>
            <w:tcW w:w="1090" w:type="dxa"/>
            <w:tcBorders>
              <w:bottom w:val="double" w:sz="6" w:space="0" w:color="000000"/>
            </w:tcBorders>
          </w:tcPr>
          <w:p>
            <w:pPr>
              <w:pStyle w:val="Normal"/>
              <w:jc w:val="end"/>
              <w:rPr>
                <w:b/>
                <w:color w:val="000000"/>
                <w:lang w:eastAsia="en-US"/>
              </w:rPr>
            </w:pPr>
            <w:r>
              <w:rPr>
                <w:b/>
                <w:color w:val="000000"/>
                <w:lang w:eastAsia="en-US"/>
              </w:rPr>
              <w:t xml:space="preserve">          </w:t>
            </w:r>
            <w:r>
              <w:rPr>
                <w:b/>
                <w:color w:val="000000"/>
                <w:lang w:eastAsia="en-US"/>
              </w:rPr>
              <w:t xml:space="preserve">4,751 </w:t>
            </w:r>
          </w:p>
        </w:tc>
      </w:tr>
    </w:tbl>
    <w:p>
      <w:pPr>
        <w:pStyle w:val="Normal"/>
        <w:rPr/>
      </w:pPr>
      <w:r>
        <w:rPr/>
      </w:r>
    </w:p>
    <w:p>
      <w:pPr>
        <w:pStyle w:val="Normal"/>
        <w:rPr/>
      </w:pPr>
      <w:r>
        <w:rPr/>
      </w:r>
    </w:p>
    <w:p>
      <w:pPr>
        <w:pStyle w:val="BodyText2"/>
        <w:numPr>
          <w:ilvl w:val="0"/>
          <w:numId w:val="3"/>
        </w:numPr>
        <w:rPr/>
      </w:pPr>
      <w:r>
        <w:rPr/>
        <w:t>How do you think the existing and potential investors might react to the 1995 income statement treatment of the items on the audit committee’s agenda?</w:t>
      </w:r>
    </w:p>
    <w:p>
      <w:pPr>
        <w:pStyle w:val="Normal"/>
        <w:rPr>
          <w:sz w:val="24"/>
        </w:rPr>
      </w:pPr>
      <w:r>
        <w:rPr>
          <w:sz w:val="24"/>
        </w:rPr>
      </w:r>
    </w:p>
    <w:p>
      <w:pPr>
        <w:pStyle w:val="Normal"/>
        <w:rPr>
          <w:sz w:val="22"/>
        </w:rPr>
      </w:pPr>
      <w:r>
        <w:rPr>
          <w:sz w:val="22"/>
        </w:rPr>
      </w:r>
    </w:p>
    <w:p>
      <w:pPr>
        <w:pStyle w:val="Heading1"/>
        <w:ind w:hanging="0" w:start="0"/>
        <w:rPr/>
      </w:pPr>
      <w:r>
        <w:rPr/>
        <w:t>Negative Effects from Management’s Actions</w:t>
      </w:r>
    </w:p>
    <w:p>
      <w:pPr>
        <w:pStyle w:val="Normal"/>
        <w:rPr>
          <w:sz w:val="22"/>
        </w:rPr>
      </w:pPr>
      <w:r>
        <w:rPr>
          <w:sz w:val="22"/>
        </w:rPr>
      </w:r>
    </w:p>
    <w:p>
      <w:pPr>
        <w:pStyle w:val="BodyText"/>
        <w:ind w:firstLine="720" w:end="0"/>
        <w:rPr/>
      </w:pPr>
      <w:r>
        <w:rPr/>
        <w:t>In general, the market is likely to have a negative bias toward Agro’s reporting of discontinued operations and the various unusual and extraordinary items, particularly since Agro declined to signal the discontinued operations or unusual or extraordinary items in interim financial statements for 1995.  Of particular concern is the fact that the market anticipated that Agro’s 1995 earnings would cover the company’s $1.20 dividend distribution.  The various charges associated with discontinued operations and unusual and extraordinary threaten Agro’s ability to meet dividend requirements without tapping into retained earnings.  This is likely to have an adverse effect on Agro’s stock price in the near term.</w:t>
      </w:r>
    </w:p>
    <w:p>
      <w:pPr>
        <w:pStyle w:val="Normal"/>
        <w:ind w:firstLine="720" w:end="0"/>
        <w:rPr>
          <w:sz w:val="22"/>
        </w:rPr>
      </w:pPr>
      <w:r>
        <w:rPr>
          <w:sz w:val="22"/>
        </w:rPr>
      </w:r>
    </w:p>
    <w:p>
      <w:pPr>
        <w:pStyle w:val="Normal"/>
        <w:ind w:firstLine="720" w:end="0"/>
        <w:rPr>
          <w:sz w:val="24"/>
        </w:rPr>
      </w:pPr>
      <w:r>
        <w:rPr>
          <w:sz w:val="24"/>
        </w:rPr>
        <w:t>There is little chance of a favorable reaction from investors to the losses associated with the preservative recall. The 1.375 million loss is absolutely material and reduces after tax profits by nearly 20%. It does however put and end to the costly legal battle the company was waging, and the fact that the company is taking the proactive step of stopping use of the preservative in the other Common Market countries and has already incurred the reformulation and recall costs is good. From the text of the case it is unclear as to whether Agro reported the significant costs of litigation in 1994 or held them back pending settlement of the issue.  If they did not report and charge these costs in 1994 and were forced to record them all in 1995, investor’s may see this as deceptive and react negatively towards management.</w:t>
      </w:r>
    </w:p>
    <w:p>
      <w:pPr>
        <w:pStyle w:val="Normal"/>
        <w:ind w:firstLine="720" w:end="0"/>
        <w:rPr>
          <w:sz w:val="22"/>
        </w:rPr>
      </w:pPr>
      <w:r>
        <w:rPr>
          <w:sz w:val="22"/>
        </w:rPr>
      </w:r>
    </w:p>
    <w:p>
      <w:pPr>
        <w:pStyle w:val="Normal"/>
        <w:ind w:firstLine="720" w:end="0"/>
        <w:rPr>
          <w:sz w:val="24"/>
        </w:rPr>
      </w:pPr>
      <w:r>
        <w:rPr>
          <w:sz w:val="24"/>
        </w:rPr>
        <w:t>In addition, investors may question the motivation behind the change in depreciation method.  Agro-Feed needs to disclose why this is a more appropriate method in the footnotes to ensure investors that the change is not for a quick one-time gain.  Investors may also feel that Agro-feed should have set aside some reserve for the recall activities. Additionally, the change in treatment is being applied only to equipment purchased after March 1995, so there is not as great an impact as if it had been applied more retroactively. As already stated however, this represents a move from a more conservative policy to a more liberal one, and investors will be watching for signs of a trend in this direction.</w:t>
      </w:r>
    </w:p>
    <w:p>
      <w:pPr>
        <w:pStyle w:val="Normal"/>
        <w:ind w:firstLine="720" w:end="0"/>
        <w:rPr>
          <w:sz w:val="24"/>
        </w:rPr>
      </w:pPr>
      <w:r>
        <w:rPr>
          <w:sz w:val="24"/>
        </w:rPr>
        <w:t xml:space="preserve">  </w:t>
      </w:r>
    </w:p>
    <w:p>
      <w:pPr>
        <w:pStyle w:val="Normal"/>
        <w:ind w:firstLine="720" w:end="0"/>
        <w:rPr>
          <w:sz w:val="24"/>
        </w:rPr>
      </w:pPr>
      <w:r>
        <w:rPr>
          <w:sz w:val="24"/>
        </w:rPr>
        <w:t>There was no reserve set aside for the litigation settlement for $250,000.  The reason the company gives as to the reason for this was their inability to estimate the potential cost of this item.  Investors may see this as a poor excuse for not setting aside reserves for this item. Given the low level of settlement ($250,000 versus the $100m demand), the disclosure may not be negative since it appears that Agro disposed of a large potential liability in an expedient manner.  Furthermore, Agro may not report the amount in a separate line item due to the low level.  It may be seen as immaterial or not unusual in nature to settle such a claim.</w:t>
      </w:r>
    </w:p>
    <w:p>
      <w:pPr>
        <w:pStyle w:val="Normal"/>
        <w:rPr>
          <w:sz w:val="24"/>
        </w:rPr>
      </w:pPr>
      <w:r>
        <w:rPr>
          <w:sz w:val="24"/>
        </w:rPr>
      </w:r>
    </w:p>
    <w:p>
      <w:pPr>
        <w:pStyle w:val="BodyText"/>
        <w:ind w:firstLine="720" w:end="0"/>
        <w:rPr/>
      </w:pPr>
      <w:r>
        <w:rPr/>
        <w:t>The default rate on accounts receivable for Agro-feed was 28 percent higher than the reserve.  Investors may see this as an indication that the company was extending credit to risky customers and did not account well for default.  The market may question Agro’s overall credit policies as a result and may examine other receivables more closely.</w:t>
      </w:r>
    </w:p>
    <w:p>
      <w:pPr>
        <w:pStyle w:val="BodyText"/>
        <w:rPr/>
      </w:pPr>
      <w:r>
        <w:rPr/>
      </w:r>
    </w:p>
    <w:p>
      <w:pPr>
        <w:pStyle w:val="Heading1"/>
        <w:ind w:hanging="0" w:start="0"/>
        <w:rPr>
          <w:sz w:val="24"/>
        </w:rPr>
      </w:pPr>
      <w:r>
        <w:rPr>
          <w:sz w:val="24"/>
        </w:rPr>
        <w:t>Positive Effect from Management’s Actions</w:t>
      </w:r>
    </w:p>
    <w:p>
      <w:pPr>
        <w:pStyle w:val="Normal"/>
        <w:rPr>
          <w:sz w:val="24"/>
        </w:rPr>
      </w:pPr>
      <w:r>
        <w:rPr>
          <w:sz w:val="24"/>
        </w:rPr>
      </w:r>
    </w:p>
    <w:p>
      <w:pPr>
        <w:pStyle w:val="Normal"/>
        <w:ind w:firstLine="720" w:end="0"/>
        <w:rPr>
          <w:sz w:val="24"/>
        </w:rPr>
      </w:pPr>
      <w:r>
        <w:rPr>
          <w:sz w:val="24"/>
        </w:rPr>
        <w:t xml:space="preserve">Overall, the negative impact will be offset in two ways.  First, given </w:t>
      </w:r>
    </w:p>
    <w:p>
      <w:pPr>
        <w:pStyle w:val="BodyText"/>
        <w:rPr/>
      </w:pPr>
      <w:r>
        <w:rPr/>
        <w:t>the industry data provided in Exhibit 4, the market is likely to respond positively to management's decision to discontinue the feed division and focus on less competitive, higher margin businesses.    Second, Agro management has a strong track record with respect to accuracy in reporting.  This strong track record will tend to make the market somewhat more “forgiving” in its reaction to these events. Investors may accept the unusually large number of these items for this reporting period as a sign that the new management is “cleaning house”, making a long overdue move to eliminate unprofitable lines of business such as the feed business.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i/>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360" w:start="360" w:end="0"/>
    </w:pPr>
    <w:rPr>
      <w:sz w:val="24"/>
    </w:rPr>
  </w:style>
  <w:style w:type="paragraph" w:styleId="BodyText2">
    <w:name w:val="Body Text 2"/>
    <w:basedOn w:val="Normal"/>
    <w:qFormat/>
    <w:pPr/>
    <w:rPr>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2000-11-19T23:08:00Z</dcterms:created>
  <dc:creator>Compaq</dc:creator>
  <dc:description/>
  <dc:language>en-CA</dc:language>
  <cp:lastModifiedBy>Dylan &amp; Julie Windham</cp:lastModifiedBy>
  <cp:lastPrinted>2000-11-19T17:28:00Z</cp:lastPrinted>
  <dcterms:modified xsi:type="dcterms:W3CDTF">2000-11-19T23:08:00Z</dcterms:modified>
  <cp:revision>2</cp:revision>
  <dc:subject/>
  <dc:title>1</dc:title>
</cp:coreProperties>
</file>