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pPr>
      <w:r>
        <w:rPr/>
        <w:t>Agro-Feed, Case 11-1</w:t>
      </w:r>
    </w:p>
    <w:p>
      <w:pPr>
        <w:pStyle w:val="Normal"/>
        <w:rPr/>
      </w:pPr>
      <w:r>
        <w:rPr/>
      </w:r>
    </w:p>
    <w:p>
      <w:pPr>
        <w:pStyle w:val="Normal"/>
        <w:rPr/>
      </w:pPr>
      <w:r>
        <w:rPr/>
        <w:t>Q3 Prepare Agro-Feed's income statement starting with $9.5 million in "income from operations."</w:t>
      </w:r>
    </w:p>
    <w:p>
      <w:pPr>
        <w:pStyle w:val="Normal"/>
        <w:rPr/>
      </w:pPr>
      <w:r>
        <w:rPr/>
      </w:r>
    </w:p>
    <w:tbl>
      <w:tblPr>
        <w:tblW w:w="9727" w:type="dxa"/>
        <w:jc w:val="start"/>
        <w:tblInd w:w="0" w:type="dxa"/>
        <w:tblLayout w:type="fixed"/>
        <w:tblCellMar>
          <w:top w:w="0" w:type="dxa"/>
          <w:start w:w="30" w:type="dxa"/>
          <w:bottom w:w="0" w:type="dxa"/>
          <w:end w:w="30" w:type="dxa"/>
        </w:tblCellMar>
      </w:tblPr>
      <w:tblGrid>
        <w:gridCol w:w="1010"/>
        <w:gridCol w:w="1011"/>
        <w:gridCol w:w="1010"/>
        <w:gridCol w:w="1011"/>
        <w:gridCol w:w="1010"/>
        <w:gridCol w:w="1908"/>
        <w:gridCol w:w="1356"/>
        <w:gridCol w:w="1411"/>
      </w:tblGrid>
      <w:tr>
        <w:trPr>
          <w:trHeight w:val="247" w:hRule="atLeast"/>
        </w:trPr>
        <w:tc>
          <w:tcPr>
            <w:tcW w:w="4042" w:type="dxa"/>
            <w:gridSpan w:val="4"/>
            <w:tcBorders/>
          </w:tcPr>
          <w:p>
            <w:pPr>
              <w:pStyle w:val="Normal"/>
              <w:rPr>
                <w:b/>
                <w:color w:val="000000"/>
                <w:sz w:val="20"/>
                <w:u w:val="single"/>
                <w:lang w:eastAsia="en-US"/>
              </w:rPr>
            </w:pPr>
            <w:r>
              <w:rPr>
                <w:b/>
                <w:color w:val="000000"/>
                <w:sz w:val="20"/>
                <w:u w:val="single"/>
                <w:lang w:eastAsia="en-US"/>
              </w:rPr>
              <w:t>Income Statement, May, 31, 1995</w:t>
            </w:r>
          </w:p>
        </w:tc>
        <w:tc>
          <w:tcPr>
            <w:tcW w:w="0" w:type="dxa"/>
            <w:vMerge w:val="continue"/>
            <w:tcBorders/>
          </w:tcPr>
          <w:p>
            <w:pPr>
              <w:pStyle w:val="Normal"/>
              <w:snapToGrid w:val="false"/>
              <w:jc w:val="end"/>
              <w:rPr>
                <w:b/>
                <w:color w:val="000000"/>
                <w:sz w:val="20"/>
                <w:u w:val="single"/>
                <w:lang w:eastAsia="en-US"/>
              </w:rPr>
            </w:pPr>
            <w:r>
              <w:rPr>
                <w:b/>
                <w:color w:val="000000"/>
                <w:sz w:val="20"/>
                <w:u w:val="single"/>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4042" w:type="dxa"/>
            <w:gridSpan w:val="4"/>
            <w:tcBorders/>
          </w:tcPr>
          <w:p>
            <w:pPr>
              <w:pStyle w:val="Normal"/>
              <w:rPr>
                <w:color w:val="000000"/>
                <w:sz w:val="20"/>
                <w:lang w:eastAsia="en-US"/>
              </w:rPr>
            </w:pPr>
            <w:r>
              <w:rPr>
                <w:color w:val="000000"/>
                <w:sz w:val="20"/>
                <w:lang w:eastAsia="en-US"/>
              </w:rPr>
              <w:t>Income from continuing operations</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9,500,000 </w:t>
            </w:r>
          </w:p>
        </w:tc>
      </w:tr>
      <w:tr>
        <w:trPr>
          <w:trHeight w:val="290" w:hRule="atLeast"/>
        </w:trPr>
        <w:tc>
          <w:tcPr>
            <w:tcW w:w="2021" w:type="dxa"/>
            <w:gridSpan w:val="2"/>
            <w:tcBorders/>
          </w:tcPr>
          <w:p>
            <w:pPr>
              <w:pStyle w:val="Normal"/>
              <w:rPr>
                <w:color w:val="000000"/>
                <w:sz w:val="20"/>
                <w:lang w:eastAsia="en-US"/>
              </w:rPr>
            </w:pPr>
            <w:r>
              <w:rPr>
                <w:color w:val="000000"/>
                <w:sz w:val="20"/>
                <w:lang w:eastAsia="en-US"/>
              </w:rPr>
              <w:t>Gain on sale of land</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750,000 </w:t>
            </w:r>
          </w:p>
        </w:tc>
        <w:tc>
          <w:tcPr>
            <w:tcW w:w="1411" w:type="dxa"/>
            <w:tcBorders/>
          </w:tcPr>
          <w:p>
            <w:pPr>
              <w:pStyle w:val="Normal"/>
              <w:jc w:val="end"/>
              <w:rPr>
                <w:color w:val="000000"/>
                <w:sz w:val="20"/>
                <w:u w:val="single"/>
                <w:lang w:eastAsia="en-US"/>
              </w:rPr>
            </w:pPr>
            <w:r>
              <w:rPr>
                <w:rFonts w:eastAsia="Arial"/>
                <w:color w:val="000000"/>
                <w:sz w:val="20"/>
                <w:u w:val="single"/>
                <w:lang w:eastAsia="en-US"/>
              </w:rPr>
              <w:t xml:space="preserve"> </w:t>
            </w:r>
            <w:r>
              <w:rPr>
                <w:color w:val="000000"/>
                <w:sz w:val="20"/>
                <w:u w:val="single"/>
                <w:lang w:eastAsia="en-US"/>
              </w:rPr>
              <w:t xml:space="preserve">$  8,750,000 </w:t>
            </w:r>
          </w:p>
        </w:tc>
      </w:tr>
      <w:tr>
        <w:trPr>
          <w:trHeight w:val="247" w:hRule="atLeast"/>
        </w:trPr>
        <w:tc>
          <w:tcPr>
            <w:tcW w:w="1010" w:type="dxa"/>
            <w:tcBorders/>
          </w:tcPr>
          <w:p>
            <w:pPr>
              <w:pStyle w:val="Normal"/>
              <w:snapToGrid w:val="false"/>
              <w:jc w:val="end"/>
              <w:rPr>
                <w:color w:val="000000"/>
                <w:sz w:val="20"/>
                <w:u w:val="single"/>
                <w:lang w:eastAsia="en-US"/>
              </w:rPr>
            </w:pPr>
            <w:r>
              <w:rPr>
                <w:color w:val="000000"/>
                <w:sz w:val="20"/>
                <w:u w:val="single"/>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3031" w:type="dxa"/>
            <w:gridSpan w:val="3"/>
            <w:tcBorders/>
          </w:tcPr>
          <w:p>
            <w:pPr>
              <w:pStyle w:val="Normal"/>
              <w:rPr>
                <w:color w:val="000000"/>
                <w:sz w:val="20"/>
                <w:lang w:eastAsia="en-US"/>
              </w:rPr>
            </w:pPr>
            <w:r>
              <w:rPr>
                <w:color w:val="000000"/>
                <w:sz w:val="20"/>
                <w:lang w:eastAsia="en-US"/>
              </w:rPr>
              <w:t>Discontinued Operations</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5950" w:type="dxa"/>
            <w:gridSpan w:val="5"/>
            <w:tcBorders/>
          </w:tcPr>
          <w:p>
            <w:pPr>
              <w:pStyle w:val="Normal"/>
              <w:rPr>
                <w:i/>
                <w:i/>
                <w:color w:val="000000"/>
                <w:sz w:val="20"/>
                <w:lang w:eastAsia="en-US"/>
              </w:rPr>
            </w:pPr>
            <w:r>
              <w:rPr>
                <w:i/>
                <w:color w:val="000000"/>
                <w:sz w:val="20"/>
                <w:lang w:eastAsia="en-US"/>
              </w:rPr>
              <w:t>Income (loss) on uncollectable accounts receivable</w:t>
            </w:r>
          </w:p>
        </w:tc>
        <w:tc>
          <w:tcPr>
            <w:tcW w:w="0" w:type="dxa"/>
            <w:vMerge w:val="continue"/>
            <w:tcBorders/>
          </w:tcPr>
          <w:p>
            <w:pPr>
              <w:pStyle w:val="Normal"/>
              <w:snapToGrid w:val="false"/>
              <w:jc w:val="end"/>
              <w:rPr>
                <w:i/>
                <w:i/>
                <w:color w:val="000000"/>
                <w:sz w:val="20"/>
                <w:lang w:eastAsia="en-US"/>
              </w:rPr>
            </w:pPr>
            <w:r>
              <w:rPr>
                <w:i/>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4042" w:type="dxa"/>
            <w:gridSpan w:val="4"/>
            <w:tcBorders/>
          </w:tcPr>
          <w:p>
            <w:pPr>
              <w:pStyle w:val="Normal"/>
              <w:rPr>
                <w:color w:val="000000"/>
                <w:sz w:val="20"/>
                <w:lang w:eastAsia="en-US"/>
              </w:rPr>
            </w:pPr>
            <w:r>
              <w:rPr>
                <w:color w:val="000000"/>
                <w:sz w:val="20"/>
                <w:lang w:eastAsia="en-US"/>
              </w:rPr>
              <w:t>A/R charged off (April 95 - end of year)</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5,110,461 </w:t>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9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3032" w:type="dxa"/>
            <w:gridSpan w:val="3"/>
            <w:tcBorders/>
          </w:tcPr>
          <w:p>
            <w:pPr>
              <w:pStyle w:val="Normal"/>
              <w:rPr>
                <w:color w:val="000000"/>
                <w:sz w:val="20"/>
                <w:lang w:eastAsia="en-US"/>
              </w:rPr>
            </w:pPr>
            <w:r>
              <w:rPr>
                <w:color w:val="000000"/>
                <w:sz w:val="20"/>
                <w:lang w:eastAsia="en-US"/>
              </w:rPr>
              <w:t>less bad debt expense</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u w:val="single"/>
                <w:lang w:eastAsia="en-US"/>
              </w:rPr>
            </w:pPr>
            <w:r>
              <w:rPr>
                <w:rFonts w:eastAsia="Arial"/>
                <w:color w:val="000000"/>
                <w:sz w:val="20"/>
                <w:u w:val="single"/>
                <w:lang w:eastAsia="en-US"/>
              </w:rPr>
              <w:t xml:space="preserve"> </w:t>
            </w:r>
            <w:r>
              <w:rPr>
                <w:color w:val="000000"/>
                <w:sz w:val="20"/>
                <w:u w:val="single"/>
                <w:lang w:eastAsia="en-US"/>
              </w:rPr>
              <w:t xml:space="preserve">$  3,644,536 </w:t>
            </w:r>
          </w:p>
        </w:tc>
        <w:tc>
          <w:tcPr>
            <w:tcW w:w="1411" w:type="dxa"/>
            <w:tcBorders/>
          </w:tcPr>
          <w:p>
            <w:pPr>
              <w:pStyle w:val="Normal"/>
              <w:snapToGrid w:val="false"/>
              <w:jc w:val="end"/>
              <w:rPr>
                <w:color w:val="000000"/>
                <w:sz w:val="20"/>
                <w:u w:val="single"/>
                <w:lang w:eastAsia="en-US"/>
              </w:rPr>
            </w:pPr>
            <w:r>
              <w:rPr>
                <w:color w:val="000000"/>
                <w:sz w:val="20"/>
                <w:u w:val="single"/>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1,465,925 </w:t>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9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u w:val="single"/>
                <w:lang w:eastAsia="en-US"/>
              </w:rPr>
            </w:pPr>
            <w:r>
              <w:rPr>
                <w:color w:val="000000"/>
                <w:sz w:val="20"/>
                <w:u w:val="single"/>
                <w:lang w:eastAsia="en-US"/>
              </w:rPr>
            </w:r>
          </w:p>
        </w:tc>
        <w:tc>
          <w:tcPr>
            <w:tcW w:w="1411" w:type="dxa"/>
            <w:tcBorders/>
          </w:tcPr>
          <w:p>
            <w:pPr>
              <w:pStyle w:val="Normal"/>
              <w:snapToGrid w:val="false"/>
              <w:jc w:val="end"/>
              <w:rPr>
                <w:color w:val="000000"/>
                <w:sz w:val="20"/>
                <w:u w:val="single"/>
                <w:lang w:eastAsia="en-US"/>
              </w:rPr>
            </w:pPr>
            <w:r>
              <w:rPr>
                <w:color w:val="000000"/>
                <w:sz w:val="20"/>
                <w:u w:val="single"/>
                <w:lang w:eastAsia="en-US"/>
              </w:rPr>
            </w:r>
          </w:p>
        </w:tc>
      </w:tr>
      <w:tr>
        <w:trPr>
          <w:trHeight w:val="29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3032" w:type="dxa"/>
            <w:gridSpan w:val="3"/>
            <w:tcBorders/>
          </w:tcPr>
          <w:p>
            <w:pPr>
              <w:pStyle w:val="Normal"/>
              <w:rPr>
                <w:color w:val="000000"/>
                <w:sz w:val="20"/>
                <w:lang w:eastAsia="en-US"/>
              </w:rPr>
            </w:pPr>
            <w:r>
              <w:rPr>
                <w:color w:val="000000"/>
                <w:sz w:val="20"/>
                <w:lang w:eastAsia="en-US"/>
              </w:rPr>
              <w:t>Est future uncollectable A/R</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570,000 </w:t>
            </w:r>
          </w:p>
        </w:tc>
        <w:tc>
          <w:tcPr>
            <w:tcW w:w="1411" w:type="dxa"/>
            <w:tcBorders/>
          </w:tcPr>
          <w:p>
            <w:pPr>
              <w:pStyle w:val="Normal"/>
              <w:jc w:val="end"/>
              <w:rPr>
                <w:color w:val="000000"/>
                <w:sz w:val="20"/>
                <w:u w:val="single"/>
                <w:lang w:eastAsia="en-US"/>
              </w:rPr>
            </w:pPr>
            <w:r>
              <w:rPr>
                <w:rFonts w:eastAsia="Arial"/>
                <w:color w:val="000000"/>
                <w:sz w:val="20"/>
                <w:u w:val="single"/>
                <w:lang w:eastAsia="en-US"/>
              </w:rPr>
              <w:t xml:space="preserve"> </w:t>
            </w:r>
            <w:r>
              <w:rPr>
                <w:color w:val="000000"/>
                <w:sz w:val="20"/>
                <w:u w:val="single"/>
                <w:lang w:eastAsia="en-US"/>
              </w:rPr>
              <w:t xml:space="preserve">$  6,714,075 </w:t>
            </w:r>
          </w:p>
        </w:tc>
      </w:tr>
      <w:tr>
        <w:trPr>
          <w:trHeight w:val="247" w:hRule="atLeast"/>
        </w:trPr>
        <w:tc>
          <w:tcPr>
            <w:tcW w:w="1010" w:type="dxa"/>
            <w:tcBorders/>
          </w:tcPr>
          <w:p>
            <w:pPr>
              <w:pStyle w:val="Normal"/>
              <w:snapToGrid w:val="false"/>
              <w:jc w:val="end"/>
              <w:rPr>
                <w:color w:val="000000"/>
                <w:sz w:val="20"/>
                <w:u w:val="single"/>
                <w:lang w:eastAsia="en-US"/>
              </w:rPr>
            </w:pPr>
            <w:r>
              <w:rPr>
                <w:color w:val="000000"/>
                <w:sz w:val="20"/>
                <w:u w:val="single"/>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5950" w:type="dxa"/>
            <w:gridSpan w:val="5"/>
            <w:tcBorders/>
          </w:tcPr>
          <w:p>
            <w:pPr>
              <w:pStyle w:val="Normal"/>
              <w:rPr>
                <w:i/>
                <w:i/>
                <w:color w:val="000000"/>
                <w:sz w:val="20"/>
                <w:lang w:eastAsia="en-US"/>
              </w:rPr>
            </w:pPr>
            <w:r>
              <w:rPr>
                <w:i/>
                <w:color w:val="000000"/>
                <w:sz w:val="20"/>
                <w:lang w:eastAsia="en-US"/>
              </w:rPr>
              <w:t>Losses and write-downs of land, building and equipment</w:t>
            </w:r>
          </w:p>
        </w:tc>
        <w:tc>
          <w:tcPr>
            <w:tcW w:w="0" w:type="dxa"/>
            <w:vMerge w:val="continue"/>
            <w:tcBorders/>
          </w:tcPr>
          <w:p>
            <w:pPr>
              <w:pStyle w:val="Normal"/>
              <w:snapToGrid w:val="false"/>
              <w:jc w:val="end"/>
              <w:rPr>
                <w:i/>
                <w:i/>
                <w:color w:val="000000"/>
                <w:sz w:val="20"/>
                <w:lang w:eastAsia="en-US"/>
              </w:rPr>
            </w:pPr>
            <w:r>
              <w:rPr>
                <w:i/>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4042" w:type="dxa"/>
            <w:gridSpan w:val="4"/>
            <w:tcBorders/>
          </w:tcPr>
          <w:p>
            <w:pPr>
              <w:pStyle w:val="Normal"/>
              <w:rPr>
                <w:color w:val="000000"/>
                <w:sz w:val="20"/>
                <w:lang w:eastAsia="en-US"/>
              </w:rPr>
            </w:pPr>
            <w:r>
              <w:rPr>
                <w:color w:val="000000"/>
                <w:sz w:val="20"/>
                <w:lang w:eastAsia="en-US"/>
              </w:rPr>
              <w:t>Recorded between April 95 - end of year</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1,465,425 </w:t>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9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2021" w:type="dxa"/>
            <w:gridSpan w:val="2"/>
            <w:tcBorders/>
          </w:tcPr>
          <w:p>
            <w:pPr>
              <w:pStyle w:val="Normal"/>
              <w:rPr>
                <w:color w:val="000000"/>
                <w:sz w:val="20"/>
                <w:lang w:eastAsia="en-US"/>
              </w:rPr>
            </w:pPr>
            <w:r>
              <w:rPr>
                <w:color w:val="000000"/>
                <w:sz w:val="20"/>
                <w:lang w:eastAsia="en-US"/>
              </w:rPr>
              <w:t>Estimated future loss</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u w:val="single"/>
                <w:lang w:eastAsia="en-US"/>
              </w:rPr>
            </w:pPr>
            <w:r>
              <w:rPr>
                <w:rFonts w:eastAsia="Arial"/>
                <w:color w:val="000000"/>
                <w:sz w:val="20"/>
                <w:u w:val="single"/>
                <w:lang w:eastAsia="en-US"/>
              </w:rPr>
              <w:t xml:space="preserve"> </w:t>
            </w:r>
            <w:r>
              <w:rPr>
                <w:color w:val="000000"/>
                <w:sz w:val="20"/>
                <w:u w:val="single"/>
                <w:lang w:eastAsia="en-US"/>
              </w:rPr>
              <w:t xml:space="preserve">$  6,867,608 </w:t>
            </w:r>
          </w:p>
        </w:tc>
        <w:tc>
          <w:tcPr>
            <w:tcW w:w="1411" w:type="dxa"/>
            <w:tcBorders/>
          </w:tcPr>
          <w:p>
            <w:pPr>
              <w:pStyle w:val="Normal"/>
              <w:snapToGrid w:val="false"/>
              <w:jc w:val="end"/>
              <w:rPr>
                <w:color w:val="000000"/>
                <w:sz w:val="20"/>
                <w:u w:val="single"/>
                <w:lang w:eastAsia="en-US"/>
              </w:rPr>
            </w:pPr>
            <w:r>
              <w:rPr>
                <w:color w:val="000000"/>
                <w:sz w:val="20"/>
                <w:u w:val="single"/>
                <w:lang w:eastAsia="en-US"/>
              </w:rPr>
            </w:r>
          </w:p>
        </w:tc>
      </w:tr>
      <w:tr>
        <w:trPr>
          <w:trHeight w:val="29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8,333,033 </w:t>
            </w:r>
          </w:p>
        </w:tc>
        <w:tc>
          <w:tcPr>
            <w:tcW w:w="1411" w:type="dxa"/>
            <w:tcBorders/>
          </w:tcPr>
          <w:p>
            <w:pPr>
              <w:pStyle w:val="Normal"/>
              <w:jc w:val="end"/>
              <w:rPr>
                <w:color w:val="000000"/>
                <w:sz w:val="20"/>
                <w:u w:val="single"/>
                <w:lang w:eastAsia="en-US"/>
              </w:rPr>
            </w:pPr>
            <w:r>
              <w:rPr>
                <w:rFonts w:eastAsia="Arial"/>
                <w:color w:val="000000"/>
                <w:sz w:val="20"/>
                <w:u w:val="single"/>
                <w:lang w:eastAsia="en-US"/>
              </w:rPr>
              <w:t xml:space="preserve"> </w:t>
            </w:r>
            <w:r>
              <w:rPr>
                <w:color w:val="000000"/>
                <w:sz w:val="20"/>
                <w:u w:val="single"/>
                <w:lang w:eastAsia="en-US"/>
              </w:rPr>
              <w:t>$ (1,618,958)</w:t>
            </w:r>
          </w:p>
        </w:tc>
      </w:tr>
      <w:tr>
        <w:trPr>
          <w:trHeight w:val="247" w:hRule="atLeast"/>
        </w:trPr>
        <w:tc>
          <w:tcPr>
            <w:tcW w:w="1010" w:type="dxa"/>
            <w:tcBorders/>
          </w:tcPr>
          <w:p>
            <w:pPr>
              <w:pStyle w:val="Normal"/>
              <w:snapToGrid w:val="false"/>
              <w:jc w:val="end"/>
              <w:rPr>
                <w:color w:val="000000"/>
                <w:sz w:val="20"/>
                <w:u w:val="single"/>
                <w:lang w:eastAsia="en-US"/>
              </w:rPr>
            </w:pPr>
            <w:r>
              <w:rPr>
                <w:color w:val="000000"/>
                <w:sz w:val="20"/>
                <w:u w:val="single"/>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4042" w:type="dxa"/>
            <w:gridSpan w:val="4"/>
            <w:tcBorders/>
          </w:tcPr>
          <w:p>
            <w:pPr>
              <w:pStyle w:val="Normal"/>
              <w:rPr>
                <w:i/>
                <w:i/>
                <w:color w:val="000000"/>
                <w:sz w:val="20"/>
                <w:lang w:eastAsia="en-US"/>
              </w:rPr>
            </w:pPr>
            <w:r>
              <w:rPr>
                <w:i/>
                <w:color w:val="000000"/>
                <w:sz w:val="20"/>
                <w:lang w:eastAsia="en-US"/>
              </w:rPr>
              <w:t>Cost and Expenses related to dicontinuance</w:t>
            </w:r>
          </w:p>
        </w:tc>
        <w:tc>
          <w:tcPr>
            <w:tcW w:w="0" w:type="dxa"/>
            <w:vMerge w:val="continue"/>
            <w:tcBorders/>
          </w:tcPr>
          <w:p>
            <w:pPr>
              <w:pStyle w:val="Normal"/>
              <w:snapToGrid w:val="false"/>
              <w:jc w:val="end"/>
              <w:rPr>
                <w:i/>
                <w:i/>
                <w:color w:val="000000"/>
                <w:sz w:val="20"/>
                <w:lang w:eastAsia="en-US"/>
              </w:rPr>
            </w:pPr>
            <w:r>
              <w:rPr>
                <w:i/>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4042" w:type="dxa"/>
            <w:gridSpan w:val="4"/>
            <w:tcBorders/>
          </w:tcPr>
          <w:p>
            <w:pPr>
              <w:pStyle w:val="Normal"/>
              <w:rPr>
                <w:color w:val="000000"/>
                <w:sz w:val="20"/>
                <w:lang w:eastAsia="en-US"/>
              </w:rPr>
            </w:pPr>
            <w:r>
              <w:rPr>
                <w:color w:val="000000"/>
                <w:sz w:val="20"/>
                <w:lang w:eastAsia="en-US"/>
              </w:rPr>
              <w:t>Incurred between April 95 and end of year</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2,294,559 </w:t>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2021" w:type="dxa"/>
            <w:gridSpan w:val="2"/>
            <w:tcBorders/>
          </w:tcPr>
          <w:p>
            <w:pPr>
              <w:pStyle w:val="Normal"/>
              <w:rPr>
                <w:color w:val="000000"/>
                <w:sz w:val="20"/>
                <w:lang w:eastAsia="en-US"/>
              </w:rPr>
            </w:pPr>
            <w:r>
              <w:rPr>
                <w:color w:val="000000"/>
                <w:sz w:val="20"/>
                <w:lang w:eastAsia="en-US"/>
              </w:rPr>
              <w:t>Est future costs</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bottom w:val="single" w:sz="6" w:space="0" w:color="000000"/>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2,803,073 </w:t>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9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5,097,632 </w:t>
            </w:r>
          </w:p>
        </w:tc>
        <w:tc>
          <w:tcPr>
            <w:tcW w:w="1411" w:type="dxa"/>
            <w:tcBorders/>
          </w:tcPr>
          <w:p>
            <w:pPr>
              <w:pStyle w:val="Normal"/>
              <w:jc w:val="end"/>
              <w:rPr>
                <w:color w:val="000000"/>
                <w:sz w:val="20"/>
                <w:u w:val="single"/>
                <w:lang w:eastAsia="en-US"/>
              </w:rPr>
            </w:pPr>
            <w:r>
              <w:rPr>
                <w:rFonts w:eastAsia="Arial"/>
                <w:color w:val="000000"/>
                <w:sz w:val="20"/>
                <w:u w:val="single"/>
                <w:lang w:eastAsia="en-US"/>
              </w:rPr>
              <w:t xml:space="preserve"> </w:t>
            </w:r>
            <w:r>
              <w:rPr>
                <w:color w:val="000000"/>
                <w:sz w:val="20"/>
                <w:u w:val="single"/>
                <w:lang w:eastAsia="en-US"/>
              </w:rPr>
              <w:t>$ (6,716,590)</w:t>
            </w:r>
          </w:p>
        </w:tc>
      </w:tr>
      <w:tr>
        <w:trPr>
          <w:trHeight w:val="247" w:hRule="atLeast"/>
        </w:trPr>
        <w:tc>
          <w:tcPr>
            <w:tcW w:w="1010" w:type="dxa"/>
            <w:tcBorders/>
          </w:tcPr>
          <w:p>
            <w:pPr>
              <w:pStyle w:val="Normal"/>
              <w:snapToGrid w:val="false"/>
              <w:jc w:val="end"/>
              <w:rPr>
                <w:color w:val="000000"/>
                <w:sz w:val="20"/>
                <w:u w:val="single"/>
                <w:lang w:eastAsia="en-US"/>
              </w:rPr>
            </w:pPr>
            <w:r>
              <w:rPr>
                <w:color w:val="000000"/>
                <w:sz w:val="20"/>
                <w:u w:val="single"/>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2021" w:type="dxa"/>
            <w:gridSpan w:val="2"/>
            <w:tcBorders/>
          </w:tcPr>
          <w:p>
            <w:pPr>
              <w:pStyle w:val="Normal"/>
              <w:rPr>
                <w:color w:val="000000"/>
                <w:sz w:val="20"/>
                <w:lang w:eastAsia="en-US"/>
              </w:rPr>
            </w:pPr>
            <w:r>
              <w:rPr>
                <w:color w:val="000000"/>
                <w:sz w:val="20"/>
                <w:lang w:eastAsia="en-US"/>
              </w:rPr>
              <w:t>Income tax credits</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$11,027,752 </w:t>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62" w:hRule="atLeast"/>
        </w:trPr>
        <w:tc>
          <w:tcPr>
            <w:tcW w:w="5052" w:type="dxa"/>
            <w:gridSpan w:val="5"/>
            <w:tcBorders/>
          </w:tcPr>
          <w:p>
            <w:pPr>
              <w:pStyle w:val="Normal"/>
              <w:rPr>
                <w:color w:val="000000"/>
                <w:sz w:val="20"/>
                <w:lang w:eastAsia="en-US"/>
              </w:rPr>
            </w:pPr>
            <w:r>
              <w:rPr>
                <w:color w:val="000000"/>
                <w:sz w:val="20"/>
                <w:lang w:eastAsia="en-US"/>
              </w:rPr>
              <w:t>Income after accounting for discontinued operations, before extraordinary items</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bottom w:val="double" w:sz="6" w:space="0" w:color="000000"/>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4,311,162 </w:t>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2021" w:type="dxa"/>
            <w:gridSpan w:val="2"/>
            <w:tcBorders/>
          </w:tcPr>
          <w:p>
            <w:pPr>
              <w:pStyle w:val="Normal"/>
              <w:rPr>
                <w:color w:val="000000"/>
                <w:sz w:val="20"/>
                <w:lang w:eastAsia="en-US"/>
              </w:rPr>
            </w:pPr>
            <w:r>
              <w:rPr>
                <w:color w:val="000000"/>
                <w:sz w:val="20"/>
                <w:lang w:eastAsia="en-US"/>
              </w:rPr>
              <w:t>Extraordinary Items</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2021" w:type="dxa"/>
            <w:gridSpan w:val="2"/>
            <w:tcBorders/>
          </w:tcPr>
          <w:p>
            <w:pPr>
              <w:pStyle w:val="Normal"/>
              <w:rPr>
                <w:i/>
                <w:i/>
                <w:color w:val="000000"/>
                <w:sz w:val="20"/>
                <w:lang w:eastAsia="en-US"/>
              </w:rPr>
            </w:pPr>
            <w:r>
              <w:rPr>
                <w:i/>
                <w:color w:val="000000"/>
                <w:sz w:val="20"/>
                <w:lang w:eastAsia="en-US"/>
              </w:rPr>
              <w:t>Pesticide Recall</w:t>
            </w:r>
          </w:p>
        </w:tc>
        <w:tc>
          <w:tcPr>
            <w:tcW w:w="0" w:type="dxa"/>
            <w:vMerge w:val="continue"/>
            <w:tcBorders/>
          </w:tcPr>
          <w:p>
            <w:pPr>
              <w:pStyle w:val="Normal"/>
              <w:snapToGrid w:val="false"/>
              <w:jc w:val="end"/>
              <w:rPr>
                <w:i/>
                <w:i/>
                <w:color w:val="000000"/>
                <w:sz w:val="20"/>
                <w:lang w:eastAsia="en-US"/>
              </w:rPr>
            </w:pPr>
            <w:r>
              <w:rPr>
                <w:i/>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3032" w:type="dxa"/>
            <w:gridSpan w:val="3"/>
            <w:tcBorders/>
          </w:tcPr>
          <w:p>
            <w:pPr>
              <w:pStyle w:val="Normal"/>
              <w:rPr>
                <w:color w:val="000000"/>
                <w:sz w:val="20"/>
                <w:lang w:eastAsia="en-US"/>
              </w:rPr>
            </w:pPr>
            <w:r>
              <w:rPr>
                <w:color w:val="000000"/>
                <w:sz w:val="20"/>
                <w:lang w:eastAsia="en-US"/>
              </w:rPr>
              <w:t>Litigation cost from recall</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500,000 </w:t>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5950" w:type="dxa"/>
            <w:gridSpan w:val="5"/>
            <w:tcBorders/>
          </w:tcPr>
          <w:p>
            <w:pPr>
              <w:pStyle w:val="Normal"/>
              <w:rPr>
                <w:color w:val="000000"/>
                <w:sz w:val="20"/>
                <w:lang w:eastAsia="en-US"/>
              </w:rPr>
            </w:pPr>
            <w:r>
              <w:rPr>
                <w:color w:val="000000"/>
                <w:sz w:val="20"/>
                <w:lang w:eastAsia="en-US"/>
              </w:rPr>
              <w:t>Reformulation and testing cost related to recall</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300,000 </w:t>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9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4042" w:type="dxa"/>
            <w:gridSpan w:val="4"/>
            <w:tcBorders/>
          </w:tcPr>
          <w:p>
            <w:pPr>
              <w:pStyle w:val="Normal"/>
              <w:rPr>
                <w:color w:val="000000"/>
                <w:sz w:val="20"/>
                <w:lang w:eastAsia="en-US"/>
              </w:rPr>
            </w:pPr>
            <w:r>
              <w:rPr>
                <w:color w:val="000000"/>
                <w:sz w:val="20"/>
                <w:lang w:eastAsia="en-US"/>
              </w:rPr>
              <w:t>Cumulative legal costs due to recall</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u w:val="single"/>
                <w:lang w:eastAsia="en-US"/>
              </w:rPr>
            </w:pPr>
            <w:r>
              <w:rPr>
                <w:rFonts w:eastAsia="Arial"/>
                <w:color w:val="000000"/>
                <w:sz w:val="20"/>
                <w:u w:val="single"/>
                <w:lang w:eastAsia="en-US"/>
              </w:rPr>
              <w:t xml:space="preserve"> </w:t>
            </w:r>
            <w:r>
              <w:rPr>
                <w:color w:val="000000"/>
                <w:sz w:val="20"/>
                <w:u w:val="single"/>
                <w:lang w:eastAsia="en-US"/>
              </w:rPr>
              <w:t xml:space="preserve">$     575,000 </w:t>
            </w:r>
          </w:p>
        </w:tc>
        <w:tc>
          <w:tcPr>
            <w:tcW w:w="1411" w:type="dxa"/>
            <w:tcBorders/>
          </w:tcPr>
          <w:p>
            <w:pPr>
              <w:pStyle w:val="Normal"/>
              <w:snapToGrid w:val="false"/>
              <w:jc w:val="end"/>
              <w:rPr>
                <w:color w:val="000000"/>
                <w:sz w:val="20"/>
                <w:u w:val="single"/>
                <w:lang w:eastAsia="en-US"/>
              </w:rPr>
            </w:pPr>
            <w:r>
              <w:rPr>
                <w:color w:val="000000"/>
                <w:sz w:val="20"/>
                <w:u w:val="single"/>
                <w:lang w:eastAsia="en-US"/>
              </w:rPr>
            </w:r>
          </w:p>
        </w:tc>
      </w:tr>
      <w:tr>
        <w:trPr>
          <w:trHeight w:val="29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1,375,000 </w:t>
            </w:r>
          </w:p>
        </w:tc>
        <w:tc>
          <w:tcPr>
            <w:tcW w:w="1411" w:type="dxa"/>
            <w:tcBorders/>
          </w:tcPr>
          <w:p>
            <w:pPr>
              <w:pStyle w:val="Normal"/>
              <w:jc w:val="end"/>
              <w:rPr>
                <w:color w:val="000000"/>
                <w:sz w:val="20"/>
                <w:u w:val="single"/>
                <w:lang w:eastAsia="en-US"/>
              </w:rPr>
            </w:pPr>
            <w:r>
              <w:rPr>
                <w:rFonts w:eastAsia="Arial"/>
                <w:color w:val="000000"/>
                <w:sz w:val="20"/>
                <w:u w:val="single"/>
                <w:lang w:eastAsia="en-US"/>
              </w:rPr>
              <w:t xml:space="preserve"> </w:t>
            </w:r>
            <w:r>
              <w:rPr>
                <w:color w:val="000000"/>
                <w:sz w:val="20"/>
                <w:u w:val="single"/>
                <w:lang w:eastAsia="en-US"/>
              </w:rPr>
              <w:t xml:space="preserve">$  2,936,162 </w:t>
            </w:r>
          </w:p>
        </w:tc>
      </w:tr>
      <w:tr>
        <w:trPr>
          <w:trHeight w:val="247" w:hRule="atLeast"/>
        </w:trPr>
        <w:tc>
          <w:tcPr>
            <w:tcW w:w="1010" w:type="dxa"/>
            <w:tcBorders/>
          </w:tcPr>
          <w:p>
            <w:pPr>
              <w:pStyle w:val="Normal"/>
              <w:snapToGrid w:val="false"/>
              <w:jc w:val="end"/>
              <w:rPr>
                <w:color w:val="000000"/>
                <w:sz w:val="20"/>
                <w:u w:val="single"/>
                <w:lang w:eastAsia="en-US"/>
              </w:rPr>
            </w:pPr>
            <w:r>
              <w:rPr>
                <w:color w:val="000000"/>
                <w:sz w:val="20"/>
                <w:u w:val="single"/>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9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4042" w:type="dxa"/>
            <w:gridSpan w:val="4"/>
            <w:tcBorders/>
          </w:tcPr>
          <w:p>
            <w:pPr>
              <w:pStyle w:val="Normal"/>
              <w:rPr>
                <w:color w:val="000000"/>
                <w:sz w:val="20"/>
                <w:lang w:eastAsia="en-US"/>
              </w:rPr>
            </w:pPr>
            <w:r>
              <w:rPr>
                <w:color w:val="000000"/>
                <w:sz w:val="20"/>
                <w:lang w:eastAsia="en-US"/>
              </w:rPr>
              <w:t>Gain on change in depreciation method</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200,000 </w:t>
            </w:r>
          </w:p>
        </w:tc>
        <w:tc>
          <w:tcPr>
            <w:tcW w:w="1411" w:type="dxa"/>
            <w:tcBorders/>
          </w:tcPr>
          <w:p>
            <w:pPr>
              <w:pStyle w:val="Normal"/>
              <w:jc w:val="end"/>
              <w:rPr>
                <w:color w:val="000000"/>
                <w:sz w:val="20"/>
                <w:u w:val="single"/>
                <w:lang w:eastAsia="en-US"/>
              </w:rPr>
            </w:pPr>
            <w:r>
              <w:rPr>
                <w:rFonts w:eastAsia="Arial"/>
                <w:color w:val="000000"/>
                <w:sz w:val="20"/>
                <w:u w:val="single"/>
                <w:lang w:eastAsia="en-US"/>
              </w:rPr>
              <w:t xml:space="preserve"> </w:t>
            </w:r>
            <w:r>
              <w:rPr>
                <w:color w:val="000000"/>
                <w:sz w:val="20"/>
                <w:u w:val="single"/>
                <w:lang w:eastAsia="en-US"/>
              </w:rPr>
              <w:t xml:space="preserve">$  2,736,162 </w:t>
            </w:r>
          </w:p>
        </w:tc>
      </w:tr>
      <w:tr>
        <w:trPr>
          <w:trHeight w:val="247" w:hRule="atLeast"/>
        </w:trPr>
        <w:tc>
          <w:tcPr>
            <w:tcW w:w="1010" w:type="dxa"/>
            <w:tcBorders/>
          </w:tcPr>
          <w:p>
            <w:pPr>
              <w:pStyle w:val="Normal"/>
              <w:snapToGrid w:val="false"/>
              <w:jc w:val="end"/>
              <w:rPr>
                <w:color w:val="000000"/>
                <w:sz w:val="20"/>
                <w:u w:val="single"/>
                <w:lang w:eastAsia="en-US"/>
              </w:rPr>
            </w:pPr>
            <w:r>
              <w:rPr>
                <w:color w:val="000000"/>
                <w:sz w:val="20"/>
                <w:u w:val="single"/>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9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3032" w:type="dxa"/>
            <w:gridSpan w:val="3"/>
            <w:tcBorders/>
          </w:tcPr>
          <w:p>
            <w:pPr>
              <w:pStyle w:val="Normal"/>
              <w:rPr>
                <w:color w:val="000000"/>
                <w:sz w:val="20"/>
                <w:lang w:eastAsia="en-US"/>
              </w:rPr>
            </w:pPr>
            <w:r>
              <w:rPr>
                <w:color w:val="000000"/>
                <w:sz w:val="20"/>
                <w:lang w:eastAsia="en-US"/>
              </w:rPr>
              <w:t>Cost due to litigation settlement</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250,000 </w:t>
            </w:r>
          </w:p>
        </w:tc>
        <w:tc>
          <w:tcPr>
            <w:tcW w:w="1411" w:type="dxa"/>
            <w:tcBorders/>
          </w:tcPr>
          <w:p>
            <w:pPr>
              <w:pStyle w:val="Normal"/>
              <w:jc w:val="end"/>
              <w:rPr>
                <w:color w:val="000000"/>
                <w:sz w:val="20"/>
                <w:u w:val="single"/>
                <w:lang w:eastAsia="en-US"/>
              </w:rPr>
            </w:pPr>
            <w:r>
              <w:rPr>
                <w:rFonts w:eastAsia="Arial"/>
                <w:color w:val="000000"/>
                <w:sz w:val="20"/>
                <w:u w:val="single"/>
                <w:lang w:eastAsia="en-US"/>
              </w:rPr>
              <w:t xml:space="preserve"> </w:t>
            </w:r>
            <w:r>
              <w:rPr>
                <w:color w:val="000000"/>
                <w:sz w:val="20"/>
                <w:u w:val="single"/>
                <w:lang w:eastAsia="en-US"/>
              </w:rPr>
              <w:t xml:space="preserve">$  2,486,162 </w:t>
            </w:r>
          </w:p>
        </w:tc>
      </w:tr>
      <w:tr>
        <w:trPr>
          <w:trHeight w:val="247" w:hRule="atLeast"/>
        </w:trPr>
        <w:tc>
          <w:tcPr>
            <w:tcW w:w="1010" w:type="dxa"/>
            <w:tcBorders/>
          </w:tcPr>
          <w:p>
            <w:pPr>
              <w:pStyle w:val="Normal"/>
              <w:snapToGrid w:val="false"/>
              <w:jc w:val="end"/>
              <w:rPr>
                <w:color w:val="000000"/>
                <w:sz w:val="20"/>
                <w:u w:val="single"/>
                <w:lang w:eastAsia="en-US"/>
              </w:rPr>
            </w:pPr>
            <w:r>
              <w:rPr>
                <w:color w:val="000000"/>
                <w:sz w:val="20"/>
                <w:u w:val="single"/>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4042" w:type="dxa"/>
            <w:gridSpan w:val="4"/>
            <w:tcBorders/>
          </w:tcPr>
          <w:p>
            <w:pPr>
              <w:pStyle w:val="Normal"/>
              <w:rPr>
                <w:color w:val="000000"/>
                <w:sz w:val="20"/>
                <w:lang w:eastAsia="en-US"/>
              </w:rPr>
            </w:pPr>
            <w:r>
              <w:rPr>
                <w:color w:val="000000"/>
                <w:sz w:val="20"/>
                <w:lang w:eastAsia="en-US"/>
              </w:rPr>
              <w:t>Loss due to tornado -  net insurance claim</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135,000 </w:t>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47"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011" w:type="dxa"/>
            <w:tcBorders/>
          </w:tcPr>
          <w:p>
            <w:pPr>
              <w:pStyle w:val="Normal"/>
              <w:snapToGrid w:val="false"/>
              <w:jc w:val="end"/>
              <w:rPr>
                <w:color w:val="000000"/>
                <w:sz w:val="20"/>
                <w:lang w:eastAsia="en-US"/>
              </w:rPr>
            </w:pPr>
            <w:r>
              <w:rPr>
                <w:color w:val="000000"/>
                <w:sz w:val="20"/>
                <w:lang w:eastAsia="en-US"/>
              </w:rPr>
            </w:r>
          </w:p>
        </w:tc>
        <w:tc>
          <w:tcPr>
            <w:tcW w:w="1010" w:type="dxa"/>
            <w:tcBorders/>
          </w:tcPr>
          <w:p>
            <w:pPr>
              <w:pStyle w:val="Normal"/>
              <w:snapToGrid w:val="false"/>
              <w:jc w:val="end"/>
              <w:rPr>
                <w:color w:val="000000"/>
                <w:sz w:val="20"/>
                <w:lang w:eastAsia="en-US"/>
              </w:rPr>
            </w:pPr>
            <w:r>
              <w:rPr>
                <w:color w:val="000000"/>
                <w:sz w:val="20"/>
                <w:lang w:eastAsia="en-US"/>
              </w:rPr>
            </w:r>
          </w:p>
        </w:tc>
        <w:tc>
          <w:tcPr>
            <w:tcW w:w="1908" w:type="dxa"/>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tcPr>
          <w:p>
            <w:pPr>
              <w:pStyle w:val="Normal"/>
              <w:snapToGrid w:val="false"/>
              <w:jc w:val="end"/>
              <w:rPr>
                <w:color w:val="000000"/>
                <w:sz w:val="20"/>
                <w:lang w:eastAsia="en-US"/>
              </w:rPr>
            </w:pPr>
            <w:r>
              <w:rPr>
                <w:color w:val="000000"/>
                <w:sz w:val="20"/>
                <w:lang w:eastAsia="en-US"/>
              </w:rPr>
            </w:r>
          </w:p>
        </w:tc>
      </w:tr>
      <w:tr>
        <w:trPr>
          <w:trHeight w:val="270" w:hRule="atLeast"/>
        </w:trPr>
        <w:tc>
          <w:tcPr>
            <w:tcW w:w="1010" w:type="dxa"/>
            <w:tcBorders/>
          </w:tcPr>
          <w:p>
            <w:pPr>
              <w:pStyle w:val="Normal"/>
              <w:snapToGrid w:val="false"/>
              <w:jc w:val="end"/>
              <w:rPr>
                <w:color w:val="000000"/>
                <w:sz w:val="20"/>
                <w:lang w:eastAsia="en-US"/>
              </w:rPr>
            </w:pPr>
            <w:r>
              <w:rPr>
                <w:color w:val="000000"/>
                <w:sz w:val="20"/>
                <w:lang w:eastAsia="en-US"/>
              </w:rPr>
            </w:r>
          </w:p>
        </w:tc>
        <w:tc>
          <w:tcPr>
            <w:tcW w:w="5950" w:type="dxa"/>
            <w:gridSpan w:val="5"/>
            <w:tcBorders/>
          </w:tcPr>
          <w:p>
            <w:pPr>
              <w:pStyle w:val="Normal"/>
              <w:rPr>
                <w:color w:val="000000"/>
                <w:sz w:val="20"/>
                <w:lang w:eastAsia="en-US"/>
              </w:rPr>
            </w:pPr>
            <w:r>
              <w:rPr>
                <w:color w:val="000000"/>
                <w:sz w:val="20"/>
                <w:lang w:eastAsia="en-US"/>
              </w:rPr>
              <w:t xml:space="preserve">Total Income after discontinued operations and extraordinary items </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356" w:type="dxa"/>
            <w:tcBorders/>
          </w:tcPr>
          <w:p>
            <w:pPr>
              <w:pStyle w:val="Normal"/>
              <w:snapToGrid w:val="false"/>
              <w:jc w:val="end"/>
              <w:rPr>
                <w:color w:val="000000"/>
                <w:sz w:val="20"/>
                <w:lang w:eastAsia="en-US"/>
              </w:rPr>
            </w:pPr>
            <w:r>
              <w:rPr>
                <w:color w:val="000000"/>
                <w:sz w:val="20"/>
                <w:lang w:eastAsia="en-US"/>
              </w:rPr>
            </w:r>
          </w:p>
        </w:tc>
        <w:tc>
          <w:tcPr>
            <w:tcW w:w="1411" w:type="dxa"/>
            <w:tcBorders>
              <w:bottom w:val="double" w:sz="6" w:space="0" w:color="000000"/>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 xml:space="preserve">$  2,351,162 </w:t>
            </w:r>
          </w:p>
        </w:tc>
      </w:tr>
    </w:tbl>
    <w:p>
      <w:pPr>
        <w:pStyle w:val="Normal"/>
        <w:rPr/>
      </w:pPr>
      <w:r>
        <w:rPr/>
      </w:r>
    </w:p>
    <w:p>
      <w:pPr>
        <w:pStyle w:val="Normal"/>
        <w:rPr/>
      </w:pPr>
      <w:r>
        <w:rPr/>
        <w:t>Q4</w:t>
        <w:tab/>
        <w:t>How do you think existing and potential investors might react to the 1995 income statement treatment of the items on the audit committee's agenda?</w:t>
      </w:r>
    </w:p>
    <w:p>
      <w:pPr>
        <w:pStyle w:val="Normal"/>
        <w:rPr/>
      </w:pPr>
      <w:r>
        <w:rPr/>
      </w:r>
    </w:p>
    <w:p>
      <w:pPr>
        <w:pStyle w:val="Normal"/>
        <w:rPr/>
      </w:pPr>
      <w:r>
        <w:rPr/>
        <w:t>Positive Impressions</w:t>
      </w:r>
    </w:p>
    <w:p>
      <w:pPr>
        <w:pStyle w:val="Normal"/>
        <w:rPr/>
      </w:pPr>
      <w:r>
        <w:rPr/>
      </w:r>
    </w:p>
    <w:p>
      <w:pPr>
        <w:pStyle w:val="Normal"/>
        <w:rPr/>
      </w:pPr>
      <w:r>
        <w:rPr/>
        <w:t xml:space="preserve">Investors might see management's decision to change the focus from low profit activities such as the feed business to high profit activities such as packaged food items a positive move for the company and one that will increase shareholder value.  </w:t>
      </w:r>
    </w:p>
    <w:p>
      <w:pPr>
        <w:pStyle w:val="Normal"/>
        <w:rPr/>
      </w:pPr>
      <w:r>
        <w:rPr/>
      </w:r>
    </w:p>
    <w:p>
      <w:pPr>
        <w:pStyle w:val="Normal"/>
        <w:rPr/>
      </w:pPr>
      <w:r>
        <w:rPr/>
        <w:t>Negative Impressions</w:t>
      </w:r>
    </w:p>
    <w:p>
      <w:pPr>
        <w:pStyle w:val="Normal"/>
        <w:rPr/>
      </w:pPr>
      <w:r>
        <w:rPr/>
      </w:r>
    </w:p>
    <w:p>
      <w:pPr>
        <w:pStyle w:val="Normal"/>
        <w:rPr/>
      </w:pPr>
      <w:r>
        <w:rPr/>
        <w:t xml:space="preserve">Investors may question the motivation behind the change in depreciation method.  Agro-Feed needs to disclose why this is a more appropriate method in the foot notes to ensure investors that the change is not for a quick one-time gain.  Investors may also feel that Agro-feed should have set aside some reserve for the recall activities.  A significant percentage of the cost of the litigation portion of the recall was incurred in 1994, but was not reported in 1994 - investors may interpret this omission from the 1994 statement as deceitful.  </w:t>
      </w:r>
    </w:p>
    <w:p>
      <w:pPr>
        <w:pStyle w:val="Normal"/>
        <w:rPr/>
      </w:pPr>
      <w:r>
        <w:rPr/>
      </w:r>
    </w:p>
    <w:p>
      <w:pPr>
        <w:pStyle w:val="Normal"/>
        <w:rPr/>
      </w:pPr>
      <w:r>
        <w:rPr/>
        <w:t>There was no reserve set aside for the litigation settlement for $250,000.  The reason the company gives as to the reason for this was their inability to estimate the potential cost of this item.  Investors may see this as a poor excuse for not setting aside reserves for this item.</w:t>
      </w:r>
    </w:p>
    <w:p>
      <w:pPr>
        <w:pStyle w:val="Normal"/>
        <w:rPr/>
      </w:pPr>
      <w:r>
        <w:rPr/>
      </w:r>
    </w:p>
    <w:p>
      <w:pPr>
        <w:pStyle w:val="Normal"/>
        <w:rPr/>
      </w:pPr>
      <w:r>
        <w:rPr/>
        <w:t>The default rate on accounts receivable for Agro-feed was 28 percent higher than the reserve.  Investors may see this as an indication that the company was extending credit to risky customers and did not account well for default.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2000-11-18T21:55:00Z</dcterms:created>
  <dc:creator>Kimberly Kupiecki</dc:creator>
  <dc:description/>
  <dc:language>en-CA</dc:language>
  <cp:lastModifiedBy>Kimberly Kupiecki</cp:lastModifiedBy>
  <dcterms:modified xsi:type="dcterms:W3CDTF">2000-11-18T22:20:00Z</dcterms:modified>
  <cp:revision>1</cp:revision>
  <dc:subject/>
  <dc:title>Agro-Feed, Case 11-1</dc:title>
</cp:coreProperties>
</file>