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18" w:type="dxa"/>
        <w:tblLayout w:type="fixed"/>
        <w:tblCellMar>
          <w:top w:w="0" w:type="dxa"/>
          <w:start w:w="108" w:type="dxa"/>
          <w:bottom w:w="0" w:type="dxa"/>
          <w:end w:w="108" w:type="dxa"/>
        </w:tblCellMar>
      </w:tblPr>
      <w:tblGrid>
        <w:gridCol w:w="1890"/>
        <w:gridCol w:w="7650"/>
      </w:tblGrid>
      <w:tr>
        <w:trPr/>
        <w:tc>
          <w:tcPr>
            <w:tcW w:w="1890" w:type="dxa"/>
            <w:tcBorders/>
          </w:tcPr>
          <w:p>
            <w:pPr>
              <w:pStyle w:val="Normal"/>
              <w:spacing w:before="20" w:after="0"/>
              <w:rPr/>
            </w:pPr>
            <w:r>
              <w:rPr/>
              <w:drawing>
                <wp:inline distT="0" distB="0" distL="0" distR="0">
                  <wp:extent cx="837565" cy="831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37565" cy="831850"/>
                          </a:xfrm>
                          <a:prstGeom prst="rect">
                            <a:avLst/>
                          </a:prstGeom>
                          <a:noFill/>
                        </pic:spPr>
                      </pic:pic>
                    </a:graphicData>
                  </a:graphic>
                </wp:inline>
              </w:drawing>
            </w:r>
          </w:p>
        </w:tc>
        <w:tc>
          <w:tcPr>
            <w:tcW w:w="7650" w:type="dxa"/>
            <w:tcBorders/>
          </w:tcPr>
          <w:p>
            <w:pPr>
              <w:pStyle w:val="Normal"/>
              <w:snapToGrid w:val="false"/>
              <w:rPr>
                <w:b/>
              </w:rPr>
            </w:pPr>
            <w:r>
              <w:rPr>
                <w:b/>
              </w:rPr>
            </w:r>
          </w:p>
          <w:p>
            <w:pPr>
              <w:pStyle w:val="Normal"/>
              <w:rPr>
                <w:b/>
              </w:rPr>
            </w:pPr>
            <w:r>
              <w:rPr>
                <w:b/>
              </w:rPr>
              <w:t xml:space="preserve">        </w:t>
            </w:r>
            <w:r>
              <w:rPr>
                <w:b/>
              </w:rPr>
              <w:t>INTEROFFICE MEMORANDUM</w:t>
            </w:r>
          </w:p>
          <w:p>
            <w:pPr>
              <w:pStyle w:val="Normal"/>
              <w:rPr>
                <w:b/>
              </w:rPr>
            </w:pPr>
            <w:r>
              <w:rPr>
                <w:b/>
              </w:rPr>
            </w:r>
          </w:p>
          <w:p>
            <w:pPr>
              <w:pStyle w:val="Normal"/>
              <w:rPr>
                <w:b/>
              </w:rPr>
            </w:pPr>
            <w:r>
              <w:rPr>
                <w:b/>
              </w:rPr>
            </w:r>
          </w:p>
        </w:tc>
      </w:tr>
    </w:tbl>
    <w:p>
      <w:pPr>
        <w:pStyle w:val="Normal"/>
        <w:pBdr>
          <w:top w:val="double" w:sz="12" w:space="1" w:color="000000"/>
        </w:pBdr>
        <w:spacing w:before="120" w:after="0"/>
        <w:jc w:val="center"/>
        <w:rPr>
          <w:b/>
        </w:rPr>
      </w:pPr>
      <w:r>
        <w:rPr>
          <w:b/>
        </w:rPr>
        <w:t>PRIVILEGED AND CONFIDENTIAL</w:t>
      </w:r>
    </w:p>
    <w:p>
      <w:pPr>
        <w:pStyle w:val="Normal"/>
        <w:pBdr>
          <w:top w:val="double" w:sz="12" w:space="1" w:color="000000"/>
        </w:pBdr>
        <w:jc w:val="center"/>
        <w:rPr>
          <w:b/>
        </w:rPr>
      </w:pPr>
      <w:r>
        <w:rPr>
          <w:b/>
        </w:rPr>
      </w:r>
    </w:p>
    <w:tbl>
      <w:tblPr>
        <w:tblW w:w="9738" w:type="dxa"/>
        <w:jc w:val="start"/>
        <w:tblInd w:w="0" w:type="dxa"/>
        <w:tblLayout w:type="fixed"/>
        <w:tblCellMar>
          <w:top w:w="0" w:type="dxa"/>
          <w:start w:w="108" w:type="dxa"/>
          <w:bottom w:w="0" w:type="dxa"/>
          <w:end w:w="108" w:type="dxa"/>
        </w:tblCellMar>
      </w:tblPr>
      <w:tblGrid>
        <w:gridCol w:w="1728"/>
        <w:gridCol w:w="4770"/>
        <w:gridCol w:w="2970"/>
        <w:gridCol w:w="270"/>
      </w:tblGrid>
      <w:tr>
        <w:trPr/>
        <w:tc>
          <w:tcPr>
            <w:tcW w:w="1728" w:type="dxa"/>
            <w:tcBorders/>
          </w:tcPr>
          <w:p>
            <w:pPr>
              <w:pStyle w:val="Normal"/>
              <w:spacing w:before="0" w:after="120"/>
              <w:jc w:val="both"/>
              <w:rPr>
                <w:b/>
              </w:rPr>
            </w:pPr>
            <w:r>
              <w:rPr>
                <w:b/>
              </w:rPr>
              <w:t>TO:</w:t>
            </w:r>
          </w:p>
        </w:tc>
        <w:tc>
          <w:tcPr>
            <w:tcW w:w="4770" w:type="dxa"/>
            <w:tcBorders/>
          </w:tcPr>
          <w:p>
            <w:pPr>
              <w:pStyle w:val="Normal"/>
              <w:jc w:val="both"/>
              <w:rPr/>
            </w:pPr>
            <w:r>
              <w:rPr/>
              <w:t>Tim Detmering</w:t>
            </w:r>
          </w:p>
          <w:p>
            <w:pPr>
              <w:pStyle w:val="Normal"/>
              <w:jc w:val="both"/>
              <w:rPr/>
            </w:pPr>
            <w:r>
              <w:rPr/>
              <w:t>Brian Redmond</w:t>
            </w:r>
          </w:p>
          <w:p>
            <w:pPr>
              <w:pStyle w:val="Normal"/>
              <w:jc w:val="both"/>
              <w:rPr/>
            </w:pPr>
            <w:r>
              <w:rPr/>
              <w:t>Patrick Wade</w:t>
            </w:r>
          </w:p>
          <w:p>
            <w:pPr>
              <w:pStyle w:val="Normal"/>
              <w:jc w:val="both"/>
              <w:rPr/>
            </w:pPr>
            <w:r>
              <w:rPr/>
              <w:t>David Gorte</w:t>
            </w:r>
          </w:p>
        </w:tc>
        <w:tc>
          <w:tcPr>
            <w:tcW w:w="2970" w:type="dxa"/>
            <w:tcBorders/>
          </w:tcPr>
          <w:p>
            <w:pPr>
              <w:pStyle w:val="Normal"/>
              <w:spacing w:before="0" w:after="120"/>
              <w:jc w:val="both"/>
              <w:rPr/>
            </w:pPr>
            <w:r>
              <w:rPr/>
              <w:t>DATE: October 27, 2000</w:t>
            </w:r>
          </w:p>
        </w:tc>
        <w:tc>
          <w:tcPr>
            <w:tcW w:w="270" w:type="dxa"/>
            <w:tcBorders/>
          </w:tcPr>
          <w:p>
            <w:pPr>
              <w:pStyle w:val="Normal"/>
              <w:snapToGrid w:val="false"/>
              <w:spacing w:before="0" w:after="120"/>
              <w:jc w:val="both"/>
              <w:rPr/>
            </w:pPr>
            <w:r>
              <w:rPr/>
            </w:r>
          </w:p>
        </w:tc>
      </w:tr>
      <w:tr>
        <w:trPr/>
        <w:tc>
          <w:tcPr>
            <w:tcW w:w="1728" w:type="dxa"/>
            <w:tcBorders/>
          </w:tcPr>
          <w:p>
            <w:pPr>
              <w:pStyle w:val="Normal"/>
              <w:spacing w:before="120" w:after="240"/>
              <w:jc w:val="both"/>
              <w:rPr>
                <w:b/>
              </w:rPr>
            </w:pPr>
            <w:r>
              <w:rPr>
                <w:b/>
              </w:rPr>
              <w:t>FROM:</w:t>
            </w:r>
          </w:p>
        </w:tc>
        <w:tc>
          <w:tcPr>
            <w:tcW w:w="4770" w:type="dxa"/>
            <w:tcBorders/>
          </w:tcPr>
          <w:p>
            <w:pPr>
              <w:pStyle w:val="Normal"/>
              <w:spacing w:before="120" w:after="0"/>
              <w:jc w:val="both"/>
              <w:rPr/>
            </w:pPr>
            <w:r>
              <w:rPr/>
              <w:t>Anne Koehler</w:t>
            </w:r>
          </w:p>
        </w:tc>
        <w:tc>
          <w:tcPr>
            <w:tcW w:w="2970" w:type="dxa"/>
            <w:tcBorders/>
          </w:tcPr>
          <w:p>
            <w:pPr>
              <w:pStyle w:val="Normal"/>
              <w:snapToGrid w:val="false"/>
              <w:spacing w:before="120" w:after="240"/>
              <w:jc w:val="both"/>
              <w:rPr>
                <w:b/>
              </w:rPr>
            </w:pPr>
            <w:r>
              <w:rPr>
                <w:b/>
              </w:rPr>
            </w:r>
          </w:p>
        </w:tc>
        <w:tc>
          <w:tcPr>
            <w:tcW w:w="270" w:type="dxa"/>
            <w:tcBorders/>
          </w:tcPr>
          <w:p>
            <w:pPr>
              <w:pStyle w:val="Normal"/>
              <w:snapToGrid w:val="false"/>
              <w:spacing w:before="120" w:after="240"/>
              <w:jc w:val="both"/>
              <w:rPr>
                <w:b/>
              </w:rPr>
            </w:pPr>
            <w:r>
              <w:rPr>
                <w:b/>
              </w:rPr>
            </w:r>
          </w:p>
        </w:tc>
      </w:tr>
      <w:tr>
        <w:trPr/>
        <w:tc>
          <w:tcPr>
            <w:tcW w:w="1728" w:type="dxa"/>
            <w:tcBorders/>
          </w:tcPr>
          <w:p>
            <w:pPr>
              <w:pStyle w:val="Normal"/>
              <w:spacing w:before="0" w:after="120"/>
              <w:jc w:val="both"/>
              <w:rPr>
                <w:b/>
              </w:rPr>
            </w:pPr>
            <w:r>
              <w:rPr>
                <w:b/>
              </w:rPr>
              <w:t>SUBJECT:</w:t>
            </w:r>
          </w:p>
        </w:tc>
        <w:tc>
          <w:tcPr>
            <w:tcW w:w="8010" w:type="dxa"/>
            <w:gridSpan w:val="3"/>
            <w:tcBorders/>
          </w:tcPr>
          <w:p>
            <w:pPr>
              <w:pStyle w:val="Normal"/>
              <w:rPr/>
            </w:pPr>
            <w:r>
              <w:rPr/>
              <w:t>Project Triple Lutz -- Draft Agreements</w:t>
            </w:r>
          </w:p>
        </w:tc>
      </w:tr>
    </w:tbl>
    <w:p>
      <w:pPr>
        <w:pStyle w:val="Normal"/>
        <w:pBdr>
          <w:bottom w:val="double" w:sz="12" w:space="1" w:color="000000"/>
        </w:pBdr>
        <w:rPr/>
      </w:pPr>
      <w:r>
        <w:rPr/>
      </w:r>
    </w:p>
    <w:p>
      <w:pPr>
        <w:pStyle w:val="Normal"/>
        <w:rPr/>
      </w:pPr>
      <w:r>
        <w:rPr/>
      </w:r>
    </w:p>
    <w:p>
      <w:pPr>
        <w:pStyle w:val="Normal"/>
        <w:jc w:val="both"/>
        <w:rPr/>
      </w:pPr>
      <w:r>
        <w:rPr/>
        <w:tab/>
      </w:r>
    </w:p>
    <w:p>
      <w:pPr>
        <w:pStyle w:val="Normal"/>
        <w:rPr/>
      </w:pPr>
      <w:r>
        <w:rPr/>
        <w:t>This memorandum summarizes the key provisions of the major agreements for Project Triple Lutz as currently negotiated with AEP. The major agreements consist of the following:</w:t>
      </w:r>
    </w:p>
    <w:p>
      <w:pPr>
        <w:pStyle w:val="Normal"/>
        <w:rPr/>
      </w:pPr>
      <w:r>
        <w:rPr/>
      </w:r>
    </w:p>
    <w:p>
      <w:pPr>
        <w:pStyle w:val="Heading2"/>
        <w:ind w:hanging="0" w:start="0"/>
        <w:rPr>
          <w:b/>
          <w:bCs/>
        </w:rPr>
      </w:pPr>
      <w:r>
        <w:rPr>
          <w:b/>
          <w:bCs/>
        </w:rPr>
        <w:t>1.  Purchase and Sale Agreement (“PSA”) between Enron Corp. (“Enron”) and AEP Gas Resources Gas Holding Company (“AEP”)</w:t>
      </w:r>
    </w:p>
    <w:p>
      <w:pPr>
        <w:pStyle w:val="Normal"/>
        <w:rPr>
          <w:b/>
          <w:bCs/>
        </w:rPr>
      </w:pPr>
      <w:r>
        <w:rPr>
          <w:b/>
          <w:bCs/>
        </w:rPr>
      </w:r>
    </w:p>
    <w:p>
      <w:pPr>
        <w:pStyle w:val="Normal"/>
        <w:rPr/>
      </w:pPr>
      <w:r>
        <w:rPr/>
        <w:t>The PSA sets forth the terms and conditions for the sale by Enron of all the outstanding stock of Houston Pipe Line Company (“HPL”) and the member interests in a newly formed limited liability company (“Newco” and together with HPL the “Acquired Companies”).  Newco will be formed to hold certain contracts with local distribution companies (e.g. Entex) that are not in the name of HPL.</w:t>
      </w:r>
    </w:p>
    <w:p>
      <w:pPr>
        <w:pStyle w:val="Normal"/>
        <w:rPr/>
      </w:pPr>
      <w:r>
        <w:rPr/>
      </w:r>
    </w:p>
    <w:p>
      <w:pPr>
        <w:pStyle w:val="Heading1"/>
        <w:ind w:hanging="0" w:start="0"/>
        <w:rPr/>
      </w:pPr>
      <w:r>
        <w:rPr/>
        <w:t>Purchase Price</w:t>
      </w:r>
    </w:p>
    <w:p>
      <w:pPr>
        <w:pStyle w:val="Normal"/>
        <w:rPr/>
      </w:pPr>
      <w:r>
        <w:rPr/>
      </w:r>
    </w:p>
    <w:p>
      <w:pPr>
        <w:pStyle w:val="Normal"/>
        <w:numPr>
          <w:ilvl w:val="0"/>
          <w:numId w:val="14"/>
        </w:numPr>
        <w:rPr>
          <w:color w:val="000000"/>
        </w:rPr>
      </w:pPr>
      <w:r>
        <w:rPr>
          <w:color w:val="000000"/>
        </w:rPr>
        <w:t>The purchase price is the fixed cash dollar amount offered by AEP (the “Base Purchase Price”), plus Inventory (including working gas) and Working Capital as of the Effective Date of the sale.  Since HPL will retain all cash and all current payables and receivables, the only remaining component of Working Capital will be prepayments.</w:t>
      </w:r>
    </w:p>
    <w:p>
      <w:pPr>
        <w:pStyle w:val="Normal"/>
        <w:rPr>
          <w:color w:val="000000"/>
        </w:rPr>
      </w:pPr>
      <w:r>
        <w:rPr>
          <w:color w:val="000000"/>
        </w:rPr>
      </w:r>
    </w:p>
    <w:p>
      <w:pPr>
        <w:pStyle w:val="Heading2"/>
        <w:ind w:hanging="0" w:start="0"/>
        <w:rPr/>
      </w:pPr>
      <w:r>
        <w:rPr/>
        <w:t xml:space="preserve">Litigation </w:t>
      </w:r>
    </w:p>
    <w:p>
      <w:pPr>
        <w:pStyle w:val="Normal"/>
        <w:rPr/>
      </w:pPr>
      <w:r>
        <w:rPr/>
      </w:r>
    </w:p>
    <w:p>
      <w:pPr>
        <w:pStyle w:val="Normal"/>
        <w:numPr>
          <w:ilvl w:val="0"/>
          <w:numId w:val="11"/>
        </w:numPr>
        <w:rPr/>
      </w:pPr>
      <w:r>
        <w:rPr/>
        <w:t>AEP will assume all liabilities of the Acquired Companies relating to pending litigation except for one lawsuit that relates to the Bammel Storage Field, which lawsuit will be retained by Enron.</w:t>
      </w:r>
    </w:p>
    <w:p>
      <w:pPr>
        <w:pStyle w:val="Normal"/>
        <w:rPr/>
      </w:pPr>
      <w:r>
        <w:rPr/>
      </w:r>
    </w:p>
    <w:p>
      <w:pPr>
        <w:pStyle w:val="Normal"/>
        <w:jc w:val="both"/>
        <w:rPr>
          <w:color w:val="000000"/>
          <w:u w:val="single"/>
        </w:rPr>
      </w:pPr>
      <w:r>
        <w:rPr>
          <w:color w:val="000000"/>
          <w:u w:val="single"/>
        </w:rPr>
        <w:t>Representations and Warranties of Enron</w:t>
      </w:r>
    </w:p>
    <w:p>
      <w:pPr>
        <w:pStyle w:val="Normal"/>
        <w:jc w:val="both"/>
        <w:rPr>
          <w:color w:val="000000"/>
          <w:u w:val="single"/>
        </w:rPr>
      </w:pPr>
      <w:r>
        <w:rPr>
          <w:color w:val="000000"/>
          <w:u w:val="single"/>
        </w:rPr>
      </w:r>
    </w:p>
    <w:p>
      <w:pPr>
        <w:pStyle w:val="Normal"/>
        <w:numPr>
          <w:ilvl w:val="0"/>
          <w:numId w:val="8"/>
        </w:numPr>
        <w:jc w:val="both"/>
        <w:rPr>
          <w:color w:val="000000"/>
        </w:rPr>
      </w:pPr>
      <w:r>
        <w:rPr>
          <w:color w:val="000000"/>
        </w:rPr>
        <w:t>The representations and warranties are consistent with those typically made by the seller of a pipeline.  Certain of the representations and warranties (including title, condition of the assets, compliance with laws, permits and environmental matters) are made subject to actual knowledge of certain specified officers of HPL or ENA and/or qualified by Material Adverse Effect.</w:t>
      </w:r>
    </w:p>
    <w:p>
      <w:pPr>
        <w:pStyle w:val="Normal"/>
        <w:jc w:val="both"/>
        <w:rPr>
          <w:color w:val="000000"/>
        </w:rPr>
      </w:pPr>
      <w:r>
        <w:rPr>
          <w:color w:val="000000"/>
        </w:rPr>
      </w:r>
    </w:p>
    <w:p>
      <w:pPr>
        <w:pStyle w:val="Normal"/>
        <w:numPr>
          <w:ilvl w:val="0"/>
          <w:numId w:val="12"/>
        </w:numPr>
        <w:jc w:val="both"/>
        <w:rPr>
          <w:color w:val="000000"/>
        </w:rPr>
      </w:pPr>
      <w:r>
        <w:rPr>
          <w:color w:val="000000"/>
        </w:rPr>
        <w:t xml:space="preserve">The only financial statement representations are made with respect to a Pro Forma Combined Balance Sheet of the Acquired Companies as of July 31, 2000.  </w:t>
      </w:r>
    </w:p>
    <w:p>
      <w:pPr>
        <w:pStyle w:val="Normal"/>
        <w:jc w:val="both"/>
        <w:rPr>
          <w:color w:val="000000"/>
        </w:rPr>
      </w:pPr>
      <w:r>
        <w:rPr>
          <w:color w:val="000000"/>
        </w:rPr>
      </w:r>
    </w:p>
    <w:p>
      <w:pPr>
        <w:pStyle w:val="Heading4"/>
        <w:ind w:hanging="0" w:start="0"/>
        <w:rPr/>
      </w:pPr>
      <w:r>
        <w:rPr/>
        <w:t xml:space="preserve">Excluded Assets </w:t>
      </w:r>
    </w:p>
    <w:p>
      <w:pPr>
        <w:pStyle w:val="Normal"/>
        <w:rPr/>
      </w:pPr>
      <w:r>
        <w:rPr/>
      </w:r>
    </w:p>
    <w:p>
      <w:pPr>
        <w:pStyle w:val="BodyText"/>
        <w:numPr>
          <w:ilvl w:val="0"/>
          <w:numId w:val="12"/>
        </w:numPr>
        <w:rPr/>
      </w:pPr>
      <w:r>
        <w:rPr/>
        <w:t>Enron retains certain assets and entities excluded from the transaction (the “Excluded Assets”).  The Excluded Assets include interests in a number of subsidiaries of HPL that are not being sold as well as all certain contract rights associated accounts receivables and intellectual property used by HPL (other than SCADA).</w:t>
      </w:r>
    </w:p>
    <w:p>
      <w:pPr>
        <w:pStyle w:val="Normal"/>
        <w:jc w:val="both"/>
        <w:rPr>
          <w:color w:val="000000"/>
          <w:u w:val="single"/>
        </w:rPr>
      </w:pPr>
      <w:r>
        <w:rPr>
          <w:color w:val="000000"/>
          <w:u w:val="single"/>
        </w:rPr>
      </w:r>
    </w:p>
    <w:p>
      <w:pPr>
        <w:pStyle w:val="Normal"/>
        <w:jc w:val="both"/>
        <w:rPr>
          <w:color w:val="000000"/>
          <w:u w:val="single"/>
        </w:rPr>
      </w:pPr>
      <w:r>
        <w:rPr>
          <w:color w:val="000000"/>
          <w:u w:val="single"/>
        </w:rPr>
        <w:t>Indemnification of Buyer</w:t>
      </w:r>
    </w:p>
    <w:p>
      <w:pPr>
        <w:pStyle w:val="Normal"/>
        <w:jc w:val="both"/>
        <w:rPr>
          <w:color w:val="000000"/>
          <w:u w:val="single"/>
        </w:rPr>
      </w:pPr>
      <w:r>
        <w:rPr>
          <w:color w:val="000000"/>
          <w:u w:val="single"/>
        </w:rPr>
      </w:r>
    </w:p>
    <w:p>
      <w:pPr>
        <w:pStyle w:val="Normal"/>
        <w:numPr>
          <w:ilvl w:val="0"/>
          <w:numId w:val="19"/>
        </w:numPr>
        <w:jc w:val="both"/>
        <w:rPr>
          <w:color w:val="000000"/>
        </w:rPr>
      </w:pPr>
      <w:r>
        <w:rPr>
          <w:color w:val="000000"/>
        </w:rPr>
        <w:t xml:space="preserve">Enron indemnifies AEP for breach of representations, warranties and covenants.  </w:t>
      </w:r>
    </w:p>
    <w:p>
      <w:pPr>
        <w:pStyle w:val="Normal"/>
        <w:jc w:val="both"/>
        <w:rPr>
          <w:color w:val="000000"/>
        </w:rPr>
      </w:pPr>
      <w:r>
        <w:rPr>
          <w:color w:val="000000"/>
        </w:rPr>
      </w:r>
    </w:p>
    <w:p>
      <w:pPr>
        <w:pStyle w:val="Normal"/>
        <w:numPr>
          <w:ilvl w:val="0"/>
          <w:numId w:val="6"/>
        </w:numPr>
        <w:jc w:val="both"/>
        <w:rPr>
          <w:color w:val="000000"/>
        </w:rPr>
      </w:pPr>
      <w:r>
        <w:rPr>
          <w:color w:val="000000"/>
        </w:rPr>
        <w:t>A deductible of 3% of the Base Purchase Price applies to claims for breach of reps, warranties and covenants (i.e. no recovery except to the extent losses exceed 3% of the Base Purchase Price)</w:t>
      </w:r>
    </w:p>
    <w:p>
      <w:pPr>
        <w:pStyle w:val="Normal"/>
        <w:jc w:val="both"/>
        <w:rPr>
          <w:color w:val="000000"/>
        </w:rPr>
      </w:pPr>
      <w:r>
        <w:rPr>
          <w:color w:val="000000"/>
        </w:rPr>
      </w:r>
    </w:p>
    <w:p>
      <w:pPr>
        <w:pStyle w:val="Normal"/>
        <w:numPr>
          <w:ilvl w:val="0"/>
          <w:numId w:val="21"/>
        </w:numPr>
        <w:jc w:val="both"/>
        <w:rPr>
          <w:color w:val="000000"/>
        </w:rPr>
      </w:pPr>
      <w:r>
        <w:rPr>
          <w:color w:val="000000"/>
        </w:rPr>
        <w:t>Enron’s total liability for breach of reps, warranties and covenants is limited to 30% of the Base Purchase Price.</w:t>
      </w:r>
    </w:p>
    <w:p>
      <w:pPr>
        <w:pStyle w:val="Normal"/>
        <w:jc w:val="both"/>
        <w:rPr>
          <w:color w:val="000000"/>
        </w:rPr>
      </w:pPr>
      <w:r>
        <w:rPr>
          <w:color w:val="000000"/>
        </w:rPr>
      </w:r>
    </w:p>
    <w:p>
      <w:pPr>
        <w:pStyle w:val="Normal"/>
        <w:numPr>
          <w:ilvl w:val="0"/>
          <w:numId w:val="2"/>
        </w:numPr>
        <w:jc w:val="both"/>
        <w:rPr>
          <w:color w:val="000000"/>
        </w:rPr>
      </w:pPr>
      <w:r>
        <w:rPr>
          <w:color w:val="000000"/>
        </w:rPr>
        <w:t>Claims for indemnification for breach (other than for taxes, environmental matters and ERISA matters) must be made within 1 year after the Closing.  The survival period for tax related claims is the statute of limitations and for environmental and ERISA, two years.</w:t>
      </w:r>
    </w:p>
    <w:p>
      <w:pPr>
        <w:pStyle w:val="Normal"/>
        <w:jc w:val="both"/>
        <w:rPr>
          <w:color w:val="000000"/>
        </w:rPr>
      </w:pPr>
      <w:r>
        <w:rPr>
          <w:color w:val="000000"/>
        </w:rPr>
      </w:r>
    </w:p>
    <w:p>
      <w:pPr>
        <w:pStyle w:val="Normal"/>
        <w:numPr>
          <w:ilvl w:val="0"/>
          <w:numId w:val="9"/>
        </w:numPr>
        <w:jc w:val="both"/>
        <w:rPr>
          <w:color w:val="000000"/>
        </w:rPr>
      </w:pPr>
      <w:r>
        <w:rPr>
          <w:color w:val="000000"/>
        </w:rPr>
        <w:t>Indemnified losses are reduced by insurance and tax benefits, but are subject to a tax gross-up.</w:t>
      </w:r>
    </w:p>
    <w:p>
      <w:pPr>
        <w:pStyle w:val="Normal"/>
        <w:jc w:val="both"/>
        <w:rPr>
          <w:color w:val="000000"/>
        </w:rPr>
      </w:pPr>
      <w:r>
        <w:rPr>
          <w:color w:val="000000"/>
        </w:rPr>
      </w:r>
    </w:p>
    <w:p>
      <w:pPr>
        <w:pStyle w:val="Normal"/>
        <w:numPr>
          <w:ilvl w:val="0"/>
          <w:numId w:val="9"/>
        </w:numPr>
        <w:jc w:val="both"/>
        <w:rPr>
          <w:color w:val="000000"/>
        </w:rPr>
      </w:pPr>
      <w:r>
        <w:rPr>
          <w:color w:val="000000"/>
        </w:rPr>
        <w:t>Enron provides a blanket indemnity (without deductible or cap) for liabilities associated with the Excluded Assets and Retained Liabilities.</w:t>
      </w:r>
    </w:p>
    <w:p>
      <w:pPr>
        <w:pStyle w:val="Normal"/>
        <w:jc w:val="both"/>
        <w:rPr>
          <w:color w:val="000000"/>
        </w:rPr>
      </w:pPr>
      <w:r>
        <w:rPr>
          <w:color w:val="000000"/>
        </w:rPr>
      </w:r>
    </w:p>
    <w:p>
      <w:pPr>
        <w:pStyle w:val="Normal"/>
        <w:jc w:val="both"/>
        <w:rPr>
          <w:color w:val="000000"/>
          <w:u w:val="single"/>
        </w:rPr>
      </w:pPr>
      <w:r>
        <w:rPr>
          <w:color w:val="000000"/>
          <w:u w:val="single"/>
        </w:rPr>
        <w:t>Indemnification of Seller</w:t>
      </w:r>
    </w:p>
    <w:p>
      <w:pPr>
        <w:pStyle w:val="Normal"/>
        <w:jc w:val="both"/>
        <w:rPr>
          <w:color w:val="000000"/>
          <w:u w:val="single"/>
        </w:rPr>
      </w:pPr>
      <w:r>
        <w:rPr>
          <w:color w:val="000000"/>
          <w:u w:val="single"/>
        </w:rPr>
      </w:r>
    </w:p>
    <w:p>
      <w:pPr>
        <w:pStyle w:val="Normal"/>
        <w:numPr>
          <w:ilvl w:val="0"/>
          <w:numId w:val="17"/>
        </w:numPr>
        <w:jc w:val="both"/>
        <w:rPr>
          <w:color w:val="000000"/>
        </w:rPr>
      </w:pPr>
      <w:r>
        <w:rPr>
          <w:color w:val="000000"/>
        </w:rPr>
        <w:t>AEP, without time or dollar limitation, indemnifies Enron for (i) breach by AEP of representations, warranties or covenants, and (iii) losses that relate to or arise out of the Acquired Companies.</w:t>
      </w:r>
    </w:p>
    <w:p>
      <w:pPr>
        <w:pStyle w:val="Normal"/>
        <w:jc w:val="both"/>
        <w:rPr>
          <w:color w:val="000000"/>
        </w:rPr>
      </w:pPr>
      <w:r>
        <w:rPr>
          <w:color w:val="000000"/>
        </w:rPr>
      </w:r>
    </w:p>
    <w:p>
      <w:pPr>
        <w:pStyle w:val="Normal"/>
        <w:jc w:val="both"/>
        <w:rPr>
          <w:color w:val="000000"/>
          <w:u w:val="single"/>
        </w:rPr>
      </w:pPr>
      <w:r>
        <w:rPr>
          <w:color w:val="000000"/>
          <w:u w:val="single"/>
        </w:rPr>
        <w:t>Environmental Matters</w:t>
      </w:r>
    </w:p>
    <w:p>
      <w:pPr>
        <w:pStyle w:val="Normal"/>
        <w:jc w:val="both"/>
        <w:rPr>
          <w:color w:val="000000"/>
          <w:u w:val="single"/>
        </w:rPr>
      </w:pPr>
      <w:r>
        <w:rPr>
          <w:color w:val="000000"/>
          <w:u w:val="single"/>
        </w:rPr>
      </w:r>
    </w:p>
    <w:p>
      <w:pPr>
        <w:pStyle w:val="Normal"/>
        <w:numPr>
          <w:ilvl w:val="0"/>
          <w:numId w:val="20"/>
        </w:numPr>
        <w:jc w:val="both"/>
        <w:rPr>
          <w:color w:val="000000"/>
        </w:rPr>
      </w:pPr>
      <w:r>
        <w:rPr>
          <w:color w:val="000000"/>
        </w:rPr>
        <w:t>Environmental representation and warranty is limited by Knowledge and Material Adverse Effect qualifiers.</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u w:val="single"/>
        </w:rPr>
      </w:pPr>
      <w:r>
        <w:rPr>
          <w:color w:val="000000"/>
          <w:u w:val="single"/>
        </w:rPr>
        <w:t>HSR and Other Governmental Approvals</w:t>
      </w:r>
    </w:p>
    <w:p>
      <w:pPr>
        <w:pStyle w:val="Normal"/>
        <w:jc w:val="both"/>
        <w:rPr>
          <w:color w:val="000000"/>
          <w:u w:val="single"/>
        </w:rPr>
      </w:pPr>
      <w:r>
        <w:rPr>
          <w:color w:val="000000"/>
          <w:u w:val="single"/>
        </w:rPr>
      </w:r>
    </w:p>
    <w:p>
      <w:pPr>
        <w:pStyle w:val="Normal"/>
        <w:numPr>
          <w:ilvl w:val="0"/>
          <w:numId w:val="20"/>
        </w:numPr>
        <w:jc w:val="both"/>
        <w:rPr>
          <w:color w:val="000000"/>
        </w:rPr>
      </w:pPr>
      <w:r>
        <w:rPr>
          <w:color w:val="000000"/>
        </w:rPr>
        <w:t>AEP has to effectively agree to take any action to obtain HSR approval including disposing of any or all of the assets of AEP or its affiliates up to $100,000,000.</w:t>
      </w:r>
    </w:p>
    <w:p>
      <w:pPr>
        <w:pStyle w:val="Normal"/>
        <w:jc w:val="both"/>
        <w:rPr>
          <w:color w:val="000000"/>
        </w:rPr>
      </w:pPr>
      <w:r>
        <w:rPr>
          <w:color w:val="000000"/>
        </w:rPr>
      </w:r>
    </w:p>
    <w:p>
      <w:pPr>
        <w:pStyle w:val="Normal"/>
        <w:numPr>
          <w:ilvl w:val="0"/>
          <w:numId w:val="22"/>
        </w:numPr>
        <w:tabs>
          <w:tab w:val="clear" w:pos="720"/>
          <w:tab w:val="left" w:pos="360" w:leader="none"/>
        </w:tabs>
        <w:ind w:hanging="360" w:start="360" w:end="0"/>
        <w:jc w:val="both"/>
        <w:rPr>
          <w:color w:val="000000"/>
        </w:rPr>
      </w:pPr>
      <w:r>
        <w:rPr>
          <w:color w:val="000000"/>
        </w:rPr>
        <w:t>In order to purchase HPL, AEP must obtain the approval of the Securities and Exchange Commission to increase current limits on AEP’s ability to commit capital for acquisitions.</w:t>
      </w:r>
    </w:p>
    <w:p>
      <w:pPr>
        <w:pStyle w:val="Normal"/>
        <w:jc w:val="both"/>
        <w:rPr>
          <w:color w:val="000000"/>
        </w:rPr>
      </w:pPr>
      <w:r>
        <w:rPr>
          <w:color w:val="000000"/>
        </w:rPr>
      </w:r>
    </w:p>
    <w:p>
      <w:pPr>
        <w:pStyle w:val="Normal"/>
        <w:jc w:val="both"/>
        <w:rPr>
          <w:color w:val="000000"/>
          <w:u w:val="single"/>
        </w:rPr>
      </w:pPr>
      <w:r>
        <w:rPr>
          <w:color w:val="000000"/>
          <w:u w:val="single"/>
        </w:rPr>
        <w:t>Tax Matters</w:t>
      </w:r>
    </w:p>
    <w:p>
      <w:pPr>
        <w:pStyle w:val="Normal"/>
        <w:jc w:val="both"/>
        <w:rPr>
          <w:color w:val="000000"/>
          <w:u w:val="single"/>
        </w:rPr>
      </w:pPr>
      <w:r>
        <w:rPr>
          <w:color w:val="000000"/>
          <w:u w:val="single"/>
        </w:rPr>
      </w:r>
    </w:p>
    <w:p>
      <w:pPr>
        <w:pStyle w:val="Normal"/>
        <w:numPr>
          <w:ilvl w:val="0"/>
          <w:numId w:val="7"/>
        </w:numPr>
        <w:jc w:val="both"/>
        <w:rPr>
          <w:color w:val="000000"/>
        </w:rPr>
      </w:pPr>
      <w:r>
        <w:rPr>
          <w:color w:val="000000"/>
        </w:rPr>
        <w:t>Enron generally accepts responsibility for pre-Closing tax liabilities, and AEP accepts responsibility for post-Closing tax liabilities.  Relatively speaking, tax provisions are even-handed.</w:t>
      </w:r>
    </w:p>
    <w:p>
      <w:pPr>
        <w:pStyle w:val="Normal"/>
        <w:jc w:val="both"/>
        <w:rPr>
          <w:color w:val="000000"/>
        </w:rPr>
      </w:pPr>
      <w:r>
        <w:rPr>
          <w:color w:val="000000"/>
        </w:rPr>
      </w:r>
    </w:p>
    <w:p>
      <w:pPr>
        <w:pStyle w:val="Normal"/>
        <w:jc w:val="both"/>
        <w:rPr>
          <w:color w:val="000000"/>
          <w:u w:val="single"/>
        </w:rPr>
      </w:pPr>
      <w:r>
        <w:rPr>
          <w:color w:val="000000"/>
          <w:u w:val="single"/>
        </w:rPr>
        <w:t>Affiliate Contracts</w:t>
      </w:r>
    </w:p>
    <w:p>
      <w:pPr>
        <w:pStyle w:val="Normal"/>
        <w:jc w:val="both"/>
        <w:rPr>
          <w:color w:val="000000"/>
          <w:u w:val="single"/>
        </w:rPr>
      </w:pPr>
      <w:r>
        <w:rPr>
          <w:color w:val="000000"/>
          <w:u w:val="single"/>
        </w:rPr>
      </w:r>
    </w:p>
    <w:p>
      <w:pPr>
        <w:pStyle w:val="Normal"/>
        <w:numPr>
          <w:ilvl w:val="0"/>
          <w:numId w:val="13"/>
        </w:numPr>
        <w:jc w:val="both"/>
        <w:rPr>
          <w:color w:val="000000"/>
        </w:rPr>
      </w:pPr>
      <w:r>
        <w:rPr>
          <w:color w:val="000000"/>
        </w:rPr>
        <w:t>Unless otherwise agreed, at Closing all agreements between any of the Acquired Companies and Enron or any of its affiliates will be terminated.</w:t>
      </w:r>
    </w:p>
    <w:p>
      <w:pPr>
        <w:pStyle w:val="Normal"/>
        <w:jc w:val="both"/>
        <w:rPr>
          <w:color w:val="000000"/>
        </w:rPr>
      </w:pPr>
      <w:r>
        <w:rPr>
          <w:color w:val="000000"/>
        </w:rPr>
      </w:r>
    </w:p>
    <w:p>
      <w:pPr>
        <w:pStyle w:val="Normal"/>
        <w:jc w:val="both"/>
        <w:rPr>
          <w:color w:val="000000"/>
          <w:u w:val="single"/>
        </w:rPr>
      </w:pPr>
      <w:r>
        <w:rPr>
          <w:color w:val="000000"/>
          <w:u w:val="single"/>
        </w:rPr>
        <w:t>Casualty Loss</w:t>
      </w:r>
    </w:p>
    <w:p>
      <w:pPr>
        <w:pStyle w:val="Normal"/>
        <w:jc w:val="both"/>
        <w:rPr>
          <w:color w:val="000000"/>
          <w:u w:val="single"/>
        </w:rPr>
      </w:pPr>
      <w:r>
        <w:rPr>
          <w:color w:val="000000"/>
          <w:u w:val="single"/>
        </w:rPr>
      </w:r>
    </w:p>
    <w:p>
      <w:pPr>
        <w:pStyle w:val="Normal"/>
        <w:numPr>
          <w:ilvl w:val="0"/>
          <w:numId w:val="5"/>
        </w:numPr>
        <w:jc w:val="both"/>
        <w:rPr>
          <w:color w:val="000000"/>
        </w:rPr>
      </w:pPr>
      <w:r>
        <w:rPr>
          <w:color w:val="000000"/>
        </w:rPr>
        <w:t>If casualty of any kind occurs prior to Closing, AEP must close without Purchase Price adjustment if (i) Enron repairs damage or (ii) Enron assigns to AEP related insurance claims or proceeds (regardless if sufficient in amount to repair damage).</w:t>
      </w:r>
    </w:p>
    <w:p>
      <w:pPr>
        <w:pStyle w:val="Normal"/>
        <w:jc w:val="both"/>
        <w:rPr>
          <w:color w:val="000000"/>
        </w:rPr>
      </w:pPr>
      <w:r>
        <w:rPr>
          <w:color w:val="000000"/>
        </w:rPr>
      </w:r>
    </w:p>
    <w:p>
      <w:pPr>
        <w:pStyle w:val="Normal"/>
        <w:jc w:val="both"/>
        <w:rPr>
          <w:color w:val="000000"/>
          <w:u w:val="single"/>
        </w:rPr>
      </w:pPr>
      <w:r>
        <w:rPr>
          <w:color w:val="000000"/>
          <w:u w:val="single"/>
        </w:rPr>
        <w:t>Updating of Schedules</w:t>
      </w:r>
    </w:p>
    <w:p>
      <w:pPr>
        <w:pStyle w:val="Normal"/>
        <w:jc w:val="both"/>
        <w:rPr>
          <w:color w:val="000000"/>
          <w:u w:val="single"/>
        </w:rPr>
      </w:pPr>
      <w:r>
        <w:rPr>
          <w:color w:val="000000"/>
          <w:u w:val="single"/>
        </w:rPr>
      </w:r>
    </w:p>
    <w:p>
      <w:pPr>
        <w:pStyle w:val="BodyText"/>
        <w:numPr>
          <w:ilvl w:val="0"/>
          <w:numId w:val="5"/>
        </w:numPr>
        <w:rPr/>
      </w:pPr>
      <w:r>
        <w:rPr/>
        <w:t>Enron has right to update Disclosure Schedules prior to Closing.  If AEP closes, then it waives any claim based on updates.</w:t>
      </w:r>
    </w:p>
    <w:p>
      <w:pPr>
        <w:pStyle w:val="Normal"/>
        <w:jc w:val="both"/>
        <w:rPr>
          <w:color w:val="000000"/>
        </w:rPr>
      </w:pPr>
      <w:r>
        <w:rPr>
          <w:color w:val="000000"/>
        </w:rPr>
      </w:r>
    </w:p>
    <w:p>
      <w:pPr>
        <w:pStyle w:val="Normal"/>
        <w:jc w:val="both"/>
        <w:rPr>
          <w:color w:val="000000"/>
          <w:u w:val="single"/>
        </w:rPr>
      </w:pPr>
      <w:r>
        <w:rPr>
          <w:color w:val="000000"/>
          <w:u w:val="single"/>
        </w:rPr>
        <w:t>Termination of Agreement; Break-up Fee</w:t>
      </w:r>
    </w:p>
    <w:p>
      <w:pPr>
        <w:pStyle w:val="Normal"/>
        <w:jc w:val="both"/>
        <w:rPr>
          <w:color w:val="000000"/>
          <w:u w:val="single"/>
        </w:rPr>
      </w:pPr>
      <w:r>
        <w:rPr>
          <w:color w:val="000000"/>
          <w:u w:val="single"/>
        </w:rPr>
      </w:r>
    </w:p>
    <w:p>
      <w:pPr>
        <w:pStyle w:val="Normal"/>
        <w:numPr>
          <w:ilvl w:val="0"/>
          <w:numId w:val="5"/>
        </w:numPr>
        <w:jc w:val="both"/>
        <w:rPr>
          <w:color w:val="000000"/>
        </w:rPr>
      </w:pPr>
      <w:r>
        <w:rPr>
          <w:color w:val="000000"/>
        </w:rPr>
        <w:t>Enron or AEP may terminate if the transaction does not close May 1, 2001, provided that the terminating party has complied with all of its obligations under the PSA.</w:t>
      </w:r>
    </w:p>
    <w:p>
      <w:pPr>
        <w:pStyle w:val="Normal"/>
        <w:rPr>
          <w:color w:val="000000"/>
        </w:rPr>
      </w:pPr>
      <w:r>
        <w:rPr>
          <w:color w:val="000000"/>
        </w:rPr>
      </w:r>
    </w:p>
    <w:p>
      <w:pPr>
        <w:pStyle w:val="Normal"/>
        <w:numPr>
          <w:ilvl w:val="0"/>
          <w:numId w:val="5"/>
        </w:numPr>
        <w:rPr/>
      </w:pPr>
      <w:r>
        <w:rPr/>
        <w:t>If sale does not close due to AEP’s failure to get necessary SEC approval or fails to comply with its obligations with respect to HSR, then AEP must pay Enron a break up fee of $50,000,000.</w:t>
      </w:r>
    </w:p>
    <w:p>
      <w:pPr>
        <w:pStyle w:val="Normal"/>
        <w:rPr/>
      </w:pPr>
      <w:r>
        <w:rPr/>
      </w:r>
    </w:p>
    <w:p>
      <w:pPr>
        <w:pStyle w:val="Normal"/>
        <w:rPr/>
      </w:pPr>
      <w:r>
        <w:rPr/>
      </w:r>
    </w:p>
    <w:p>
      <w:pPr>
        <w:pStyle w:val="Normal"/>
        <w:rPr>
          <w:b/>
          <w:bCs/>
          <w:u w:val="single"/>
        </w:rPr>
      </w:pPr>
      <w:r>
        <w:rPr>
          <w:b/>
          <w:bCs/>
          <w:u w:val="single"/>
        </w:rPr>
        <w:t>2.  Sublease Agreement between HPL and Leaseco (a newly formed Enron subsidiary) (“Sublease”)</w:t>
      </w:r>
    </w:p>
    <w:p>
      <w:pPr>
        <w:pStyle w:val="Normal"/>
        <w:ind w:start="360" w:end="0"/>
        <w:rPr/>
      </w:pPr>
      <w:r>
        <w:rPr/>
      </w:r>
    </w:p>
    <w:p>
      <w:pPr>
        <w:pStyle w:val="Normal"/>
        <w:ind w:start="360" w:end="0"/>
        <w:rPr/>
      </w:pPr>
      <w:r>
        <w:rPr/>
        <w:t>The Sublease covers the Bammel Storage Field, the Houston Loop and the Texas Loop (the “Leased Assets”).  The Leased Assets are currently leased to HPL under a Lease Agreement with HPL Asset Holdings L.P.  (the “Prime Lease”).  The Prime Lease will be assigned by HPL to Leaseco prior to Closing and at Closing HPL and Leaseco will enter into the Sublease. The Sublease will be treated as an operating lease for accounting purposes.</w:t>
      </w:r>
    </w:p>
    <w:p>
      <w:pPr>
        <w:pStyle w:val="Normal"/>
        <w:ind w:start="360" w:end="0"/>
        <w:rPr/>
      </w:pPr>
      <w:r>
        <w:rPr/>
      </w:r>
    </w:p>
    <w:p>
      <w:pPr>
        <w:pStyle w:val="Heading7"/>
        <w:ind w:start="0" w:end="0"/>
        <w:rPr/>
      </w:pPr>
      <w:r>
        <w:rPr/>
        <w:t>Term and Rent</w:t>
      </w:r>
    </w:p>
    <w:p>
      <w:pPr>
        <w:pStyle w:val="Normal"/>
        <w:rPr/>
      </w:pPr>
      <w:r>
        <w:rPr/>
        <w:t xml:space="preserve"> </w:t>
      </w:r>
    </w:p>
    <w:p>
      <w:pPr>
        <w:pStyle w:val="Normal"/>
        <w:numPr>
          <w:ilvl w:val="0"/>
          <w:numId w:val="4"/>
        </w:numPr>
        <w:rPr/>
      </w:pPr>
      <w:r>
        <w:rPr/>
        <w:t>Term is thirty years with a right by either party to extend for an additional twenty years.</w:t>
      </w:r>
    </w:p>
    <w:p>
      <w:pPr>
        <w:pStyle w:val="Normal"/>
        <w:numPr>
          <w:ilvl w:val="0"/>
          <w:numId w:val="4"/>
        </w:numPr>
        <w:rPr/>
      </w:pPr>
      <w:r>
        <w:rPr/>
        <w:t>Rent for the initial term is $30,000,000 per year.</w:t>
      </w:r>
    </w:p>
    <w:p>
      <w:pPr>
        <w:pStyle w:val="Normal"/>
        <w:ind w:start="360" w:end="0"/>
        <w:rPr/>
      </w:pPr>
      <w:r>
        <w:rPr/>
      </w:r>
    </w:p>
    <w:p>
      <w:pPr>
        <w:pStyle w:val="Heading7"/>
        <w:ind w:start="0" w:end="0"/>
        <w:rPr/>
      </w:pPr>
      <w:r>
        <w:rPr/>
        <w:t>Representations, Warranties and Indemnities of Leaseco</w:t>
      </w:r>
    </w:p>
    <w:p>
      <w:pPr>
        <w:pStyle w:val="Normal"/>
        <w:ind w:start="360" w:end="0"/>
        <w:rPr/>
      </w:pPr>
      <w:r>
        <w:rPr/>
      </w:r>
    </w:p>
    <w:p>
      <w:pPr>
        <w:pStyle w:val="Normal"/>
        <w:numPr>
          <w:ilvl w:val="0"/>
          <w:numId w:val="4"/>
        </w:numPr>
        <w:rPr/>
      </w:pPr>
      <w:r>
        <w:rPr/>
        <w:t>The Sublease contains similar representations and warranties by Leaseco as are in the PSA, qualified to the same extent as in the PSA by Knowledge and Material Adverse Effect qualifiers</w:t>
      </w:r>
    </w:p>
    <w:p>
      <w:pPr>
        <w:pStyle w:val="Normal"/>
        <w:ind w:start="360" w:end="0"/>
        <w:rPr/>
      </w:pPr>
      <w:r>
        <w:rPr/>
      </w:r>
    </w:p>
    <w:p>
      <w:pPr>
        <w:pStyle w:val="Normal"/>
        <w:numPr>
          <w:ilvl w:val="0"/>
          <w:numId w:val="4"/>
        </w:numPr>
        <w:rPr/>
      </w:pPr>
      <w:r>
        <w:rPr/>
        <w:t>Leaseco indemnifies HPL for any breach of its representations and warranties subject to the same time limitations and cap and deductible as are in the PSA.</w:t>
      </w:r>
    </w:p>
    <w:p>
      <w:pPr>
        <w:pStyle w:val="Normal"/>
        <w:rPr/>
      </w:pPr>
      <w:r>
        <w:rPr/>
      </w:r>
    </w:p>
    <w:p>
      <w:pPr>
        <w:pStyle w:val="Normal"/>
        <w:ind w:start="360" w:end="0"/>
        <w:rPr/>
      </w:pPr>
      <w:r>
        <w:rPr/>
      </w:r>
    </w:p>
    <w:p>
      <w:pPr>
        <w:pStyle w:val="Heading7"/>
        <w:ind w:start="0" w:end="0"/>
        <w:rPr/>
      </w:pPr>
      <w:r>
        <w:rPr/>
        <w:t>Obligations and Indemnities of HPL</w:t>
      </w:r>
    </w:p>
    <w:p>
      <w:pPr>
        <w:pStyle w:val="Normal"/>
        <w:ind w:start="360" w:end="0"/>
        <w:rPr>
          <w:u w:val="single"/>
        </w:rPr>
      </w:pPr>
      <w:r>
        <w:rPr>
          <w:u w:val="single"/>
        </w:rPr>
      </w:r>
    </w:p>
    <w:p>
      <w:pPr>
        <w:pStyle w:val="Normal"/>
        <w:numPr>
          <w:ilvl w:val="0"/>
          <w:numId w:val="16"/>
        </w:numPr>
        <w:rPr/>
      </w:pPr>
      <w:r>
        <w:rPr/>
        <w:t>HPL, as Sublessee, is responsible for all costs, expenses, and capital expenditures required to operate, repair, maintain and insure the Leased Assets and comply with all applicable laws.</w:t>
      </w:r>
    </w:p>
    <w:p>
      <w:pPr>
        <w:pStyle w:val="Normal"/>
        <w:rPr/>
      </w:pPr>
      <w:r>
        <w:rPr/>
      </w:r>
    </w:p>
    <w:p>
      <w:pPr>
        <w:pStyle w:val="Normal"/>
        <w:numPr>
          <w:ilvl w:val="0"/>
          <w:numId w:val="16"/>
        </w:numPr>
        <w:rPr/>
      </w:pPr>
      <w:r>
        <w:rPr/>
        <w:t>At the end of the Sublease, HPL must return the Leased Assets to Leaseco in the same condition as at beginning of the Sublease and must remediate any environmental condition that is the responsibility of Sublessee.</w:t>
      </w:r>
    </w:p>
    <w:p>
      <w:pPr>
        <w:pStyle w:val="Normal"/>
        <w:rPr/>
      </w:pPr>
      <w:r>
        <w:rPr/>
      </w:r>
    </w:p>
    <w:p>
      <w:pPr>
        <w:pStyle w:val="Normal"/>
        <w:numPr>
          <w:ilvl w:val="0"/>
          <w:numId w:val="16"/>
        </w:numPr>
        <w:rPr/>
      </w:pPr>
      <w:r>
        <w:rPr/>
        <w:t>HPL indemnifies Leaseco for all liabilities arising out of the use or operation of the Leased Assets during the term of the Sublease.</w:t>
      </w:r>
    </w:p>
    <w:p>
      <w:pPr>
        <w:pStyle w:val="Normal"/>
        <w:rPr>
          <w:u w:val="single"/>
        </w:rPr>
      </w:pPr>
      <w:r>
        <w:rPr>
          <w:u w:val="single"/>
        </w:rPr>
      </w:r>
    </w:p>
    <w:p>
      <w:pPr>
        <w:pStyle w:val="Normal"/>
        <w:rPr>
          <w:u w:val="single"/>
        </w:rPr>
      </w:pPr>
      <w:r>
        <w:rPr>
          <w:u w:val="single"/>
        </w:rPr>
        <w:t>Net Sublease</w:t>
      </w:r>
    </w:p>
    <w:p>
      <w:pPr>
        <w:pStyle w:val="Normal"/>
        <w:numPr>
          <w:ilvl w:val="0"/>
          <w:numId w:val="18"/>
        </w:numPr>
        <w:rPr/>
      </w:pPr>
      <w:r>
        <w:rPr/>
        <w:t>The Sublease is a net lease and there is no right of setoff by Sublessee.</w:t>
      </w:r>
    </w:p>
    <w:p>
      <w:pPr>
        <w:pStyle w:val="Normal"/>
        <w:rPr/>
      </w:pPr>
      <w:r>
        <w:rPr/>
      </w:r>
    </w:p>
    <w:p>
      <w:pPr>
        <w:pStyle w:val="Heading6"/>
        <w:ind w:hanging="0" w:start="0"/>
        <w:rPr/>
      </w:pPr>
      <w:r>
        <w:rPr/>
        <w:t>3.   Right to Use Agreement between Leaseco and HPL (the “Right to Use Agreement”)</w:t>
      </w:r>
      <w:r>
        <w:rPr>
          <w:b w:val="false"/>
          <w:bCs w:val="false"/>
          <w:u w:val="none"/>
        </w:rPr>
        <w:t xml:space="preserve">  </w:t>
      </w:r>
    </w:p>
    <w:p>
      <w:pPr>
        <w:pStyle w:val="Normal"/>
        <w:rPr>
          <w:b/>
          <w:bCs/>
          <w:u w:val="none"/>
        </w:rPr>
      </w:pPr>
      <w:r>
        <w:rPr>
          <w:b/>
          <w:bCs/>
          <w:u w:val="none"/>
        </w:rPr>
      </w:r>
    </w:p>
    <w:p>
      <w:pPr>
        <w:pStyle w:val="Normal"/>
        <w:rPr/>
      </w:pPr>
      <w:r>
        <w:rPr/>
        <w:t>The Right to Use Agreement gives HPL the exclusive right to use the Cushion Gas in the Bammel Storage Field, the electric compressors at Bammel and the Bammel Loop for the term of the Sublease.  These assets are not owned by HPL and are covered by certain monetizations that will not be unwound upon the sale of HPL.</w:t>
      </w:r>
    </w:p>
    <w:p>
      <w:pPr>
        <w:pStyle w:val="Normal"/>
        <w:rPr>
          <w:u w:val="single"/>
        </w:rPr>
      </w:pPr>
      <w:r>
        <w:rPr>
          <w:u w:val="single"/>
        </w:rPr>
      </w:r>
    </w:p>
    <w:p>
      <w:pPr>
        <w:pStyle w:val="Heading2"/>
        <w:ind w:hanging="0" w:start="0"/>
        <w:rPr/>
      </w:pPr>
      <w:r>
        <w:rPr/>
        <w:t xml:space="preserve">HPL Obligations </w:t>
      </w:r>
    </w:p>
    <w:p>
      <w:pPr>
        <w:pStyle w:val="Normal"/>
        <w:rPr/>
      </w:pPr>
      <w:r>
        <w:rPr/>
      </w:r>
    </w:p>
    <w:p>
      <w:pPr>
        <w:pStyle w:val="Normal"/>
        <w:numPr>
          <w:ilvl w:val="0"/>
          <w:numId w:val="18"/>
        </w:numPr>
        <w:rPr/>
      </w:pPr>
      <w:r>
        <w:rPr/>
        <w:t>HPL must maintain 65.5 BCF of Cushion Gas at all times.</w:t>
      </w:r>
    </w:p>
    <w:p>
      <w:pPr>
        <w:pStyle w:val="Heading2"/>
        <w:ind w:hanging="0" w:start="0"/>
        <w:rPr/>
      </w:pPr>
      <w:r>
        <w:rPr/>
      </w:r>
    </w:p>
    <w:p>
      <w:pPr>
        <w:pStyle w:val="Normal"/>
        <w:numPr>
          <w:ilvl w:val="0"/>
          <w:numId w:val="18"/>
        </w:numPr>
        <w:rPr>
          <w:u w:val="single"/>
        </w:rPr>
      </w:pPr>
      <w:r>
        <w:rPr/>
        <w:t>HPL will be responsible for operating, repairing and maintaining the electric compressors and Bammel Loop (the “Facilities”) at its sole cost and expense.</w:t>
      </w:r>
    </w:p>
    <w:p>
      <w:pPr>
        <w:pStyle w:val="Normal"/>
        <w:rPr>
          <w:u w:val="single"/>
        </w:rPr>
      </w:pPr>
      <w:r>
        <w:rPr>
          <w:u w:val="single"/>
        </w:rPr>
      </w:r>
    </w:p>
    <w:p>
      <w:pPr>
        <w:pStyle w:val="Normal"/>
        <w:numPr>
          <w:ilvl w:val="0"/>
          <w:numId w:val="18"/>
        </w:numPr>
        <w:rPr>
          <w:u w:val="single"/>
        </w:rPr>
      </w:pPr>
      <w:r>
        <w:rPr/>
        <w:t>HPL must pay all taxes on, comply with all applicable laws relating to and adequately insure the Cushion Gas and the Facilities.</w:t>
      </w:r>
    </w:p>
    <w:p>
      <w:pPr>
        <w:pStyle w:val="Normal"/>
        <w:rPr>
          <w:u w:val="single"/>
        </w:rPr>
      </w:pPr>
      <w:r>
        <w:rPr>
          <w:u w:val="single"/>
        </w:rPr>
      </w:r>
    </w:p>
    <w:p>
      <w:pPr>
        <w:pStyle w:val="Heading2"/>
        <w:ind w:hanging="0" w:start="0"/>
        <w:rPr/>
      </w:pPr>
      <w:r>
        <w:rPr/>
        <w:t xml:space="preserve">HPL Indemnity </w:t>
      </w:r>
    </w:p>
    <w:p>
      <w:pPr>
        <w:pStyle w:val="Normal"/>
        <w:rPr>
          <w:u w:val="single"/>
        </w:rPr>
      </w:pPr>
      <w:r>
        <w:rPr>
          <w:u w:val="single"/>
        </w:rPr>
      </w:r>
    </w:p>
    <w:p>
      <w:pPr>
        <w:pStyle w:val="Normal"/>
        <w:numPr>
          <w:ilvl w:val="0"/>
          <w:numId w:val="15"/>
        </w:numPr>
        <w:rPr/>
      </w:pPr>
      <w:r>
        <w:rPr/>
        <w:t>HPL must indemnify Leaseco for any liabilities or losses arising out of or resulting from HPL use or operation of the Cushion Gas or the Facilities or any breach by HPL of its representations, warranties or covenants in the Right to Use Agreement.</w:t>
      </w:r>
    </w:p>
    <w:p>
      <w:pPr>
        <w:pStyle w:val="Normal"/>
        <w:rPr>
          <w:u w:val="single"/>
        </w:rPr>
      </w:pPr>
      <w:r>
        <w:rPr>
          <w:u w:val="single"/>
        </w:rPr>
      </w:r>
    </w:p>
    <w:p>
      <w:pPr>
        <w:pStyle w:val="Heading2"/>
        <w:ind w:hanging="0" w:start="0"/>
        <w:rPr>
          <w:b/>
          <w:bCs/>
          <w:u w:val="none"/>
        </w:rPr>
      </w:pPr>
      <w:r>
        <w:rPr>
          <w:b/>
          <w:bCs/>
        </w:rPr>
        <w:t>4.  AEP Guaranty Agreement</w:t>
      </w:r>
    </w:p>
    <w:p>
      <w:pPr>
        <w:pStyle w:val="Header"/>
        <w:tabs>
          <w:tab w:val="clear" w:pos="4320"/>
          <w:tab w:val="clear" w:pos="8640"/>
        </w:tabs>
        <w:rPr>
          <w:b/>
          <w:bCs/>
          <w:u w:val="none"/>
        </w:rPr>
      </w:pPr>
      <w:r>
        <w:rPr>
          <w:b/>
          <w:bCs/>
          <w:u w:val="none"/>
        </w:rPr>
      </w:r>
    </w:p>
    <w:p>
      <w:pPr>
        <w:pStyle w:val="Normal"/>
        <w:numPr>
          <w:ilvl w:val="0"/>
          <w:numId w:val="15"/>
        </w:numPr>
        <w:rPr/>
      </w:pPr>
      <w:r>
        <w:rPr/>
        <w:t>The ultimate parent of AEP will guarantee the obligations of HPL and AEP under the PSA, the Sublease, the Right to Use Agreement and the Employee Matters Agreement.</w:t>
      </w:r>
    </w:p>
    <w:p>
      <w:pPr>
        <w:pStyle w:val="Normal"/>
        <w:rPr>
          <w:b/>
          <w:bCs/>
        </w:rPr>
      </w:pPr>
      <w:r>
        <w:rPr>
          <w:b/>
          <w:bCs/>
        </w:rPr>
      </w:r>
    </w:p>
    <w:p>
      <w:pPr>
        <w:pStyle w:val="Normal"/>
        <w:rPr>
          <w:b/>
          <w:bCs/>
          <w:u w:val="single"/>
        </w:rPr>
      </w:pPr>
      <w:r>
        <w:rPr>
          <w:b/>
          <w:bCs/>
          <w:u w:val="single"/>
        </w:rPr>
        <w:t xml:space="preserve">5.   Assurance and Indemnity Agreement between Enron and AEP. </w:t>
      </w:r>
    </w:p>
    <w:p>
      <w:pPr>
        <w:pStyle w:val="Header"/>
        <w:tabs>
          <w:tab w:val="clear" w:pos="4320"/>
          <w:tab w:val="clear" w:pos="8640"/>
        </w:tabs>
        <w:rPr/>
      </w:pPr>
      <w:r>
        <w:rPr/>
      </w:r>
    </w:p>
    <w:p>
      <w:pPr>
        <w:pStyle w:val="Normal"/>
        <w:numPr>
          <w:ilvl w:val="0"/>
          <w:numId w:val="15"/>
        </w:numPr>
        <w:rPr>
          <w:b/>
          <w:bCs/>
          <w:u w:val="single"/>
        </w:rPr>
      </w:pPr>
      <w:r>
        <w:rPr/>
        <w:t>Enron will provide a guaranty to AEP of the obligations of Leaseco under the Right to Use Agreement, the Sublease and the Prime Lease.</w:t>
      </w:r>
    </w:p>
    <w:p>
      <w:pPr>
        <w:pStyle w:val="Normal"/>
        <w:numPr>
          <w:ilvl w:val="0"/>
          <w:numId w:val="15"/>
        </w:numPr>
        <w:rPr>
          <w:b/>
          <w:bCs/>
          <w:u w:val="single"/>
        </w:rPr>
      </w:pPr>
      <w:r>
        <w:rPr/>
        <w:t>Enron will indemnify AEP and HPL for any loss or material impairment of the use of the Leased Assets, the Cushion Gas or the Facilities resulting from the breach by Enron or one of its affiliates of obligations under the Prime Lease or the structured financings relating to the Leased Assets, the Cushion Gas or the Facilities.</w:t>
      </w:r>
      <w:r>
        <w:rPr>
          <w:b/>
          <w:bCs/>
          <w:u w:val="single"/>
        </w:rPr>
        <w:t xml:space="preserve"> </w:t>
      </w:r>
    </w:p>
    <w:p>
      <w:pPr>
        <w:pStyle w:val="Normal"/>
        <w:rPr>
          <w:b/>
          <w:bCs/>
          <w:u w:val="single"/>
        </w:rPr>
      </w:pPr>
      <w:r>
        <w:rPr>
          <w:b/>
          <w:bCs/>
          <w:u w:val="single"/>
        </w:rPr>
      </w:r>
    </w:p>
    <w:p>
      <w:pPr>
        <w:pStyle w:val="Heading6"/>
        <w:ind w:hanging="0" w:start="0"/>
        <w:rPr/>
      </w:pPr>
      <w:r>
        <w:rPr/>
        <w:t>6.  Employee Matters Agreement</w:t>
      </w:r>
    </w:p>
    <w:p>
      <w:pPr>
        <w:pStyle w:val="Normal"/>
        <w:jc w:val="both"/>
        <w:rPr>
          <w:color w:val="000000"/>
          <w:u w:val="single"/>
        </w:rPr>
      </w:pPr>
      <w:r>
        <w:rPr>
          <w:color w:val="000000"/>
          <w:u w:val="single"/>
        </w:rPr>
      </w:r>
    </w:p>
    <w:p>
      <w:pPr>
        <w:pStyle w:val="Normal"/>
        <w:numPr>
          <w:ilvl w:val="0"/>
          <w:numId w:val="10"/>
        </w:numPr>
        <w:jc w:val="both"/>
        <w:rPr>
          <w:color w:val="000000"/>
          <w:u w:val="single"/>
        </w:rPr>
      </w:pPr>
      <w:r>
        <w:rPr>
          <w:color w:val="000000"/>
        </w:rPr>
        <w:t>AEP must continue all HPL employees at same position and salary for 24 months following Closing.</w:t>
      </w:r>
    </w:p>
    <w:p>
      <w:pPr>
        <w:pStyle w:val="BodyText"/>
        <w:numPr>
          <w:ilvl w:val="0"/>
          <w:numId w:val="3"/>
        </w:numPr>
        <w:rPr/>
      </w:pPr>
      <w:r>
        <w:rPr/>
        <w:t>For a period of at least 24 months after Closing, AEP must provide severance benefits not less than severance benefits in place prior to Closing unless Enron agrees to hire the severed employee.</w:t>
      </w:r>
    </w:p>
    <w:p>
      <w:pPr>
        <w:pStyle w:val="BodyText"/>
        <w:numPr>
          <w:ilvl w:val="0"/>
          <w:numId w:val="3"/>
        </w:numPr>
        <w:rPr/>
      </w:pPr>
      <w:r>
        <w:rPr/>
        <w:t>AEP will provide comparable benefits to the benefits provided by Enron.</w:t>
      </w:r>
    </w:p>
    <w:p>
      <w:pPr>
        <w:pStyle w:val="Normal"/>
        <w:numPr>
          <w:ilvl w:val="0"/>
          <w:numId w:val="3"/>
        </w:numPr>
        <w:jc w:val="both"/>
        <w:rPr>
          <w:color w:val="000000"/>
        </w:rPr>
      </w:pPr>
      <w:r>
        <w:rPr>
          <w:color w:val="000000"/>
        </w:rPr>
        <w:t>AEP shall not solicit any employee of Enron or its affiliates for a period of 12 months after signing.</w:t>
      </w:r>
    </w:p>
    <w:p>
      <w:pPr>
        <w:pStyle w:val="Normal"/>
        <w:jc w:val="both"/>
        <w:rPr>
          <w:color w:val="000000"/>
        </w:rPr>
      </w:pPr>
      <w:r>
        <w:rPr>
          <w:color w:val="000000"/>
        </w:rPr>
      </w:r>
    </w:p>
    <w:p>
      <w:pPr>
        <w:pStyle w:val="Normal"/>
        <w:jc w:val="both"/>
        <w:rPr>
          <w:color w:val="000000"/>
        </w:rPr>
      </w:pPr>
      <w:r>
        <w:rPr>
          <w:color w:val="000000"/>
        </w:rPr>
        <w:t>As indicated above, this is the current form of the agreements and further negotiations may involve changes to the risk and liability allocations outlined above.</w:t>
      </w:r>
    </w:p>
    <w:p>
      <w:pPr>
        <w:pStyle w:val="Normal"/>
        <w:jc w:val="both"/>
        <w:rPr>
          <w:color w:val="000000"/>
        </w:rPr>
      </w:pPr>
      <w:r>
        <w:rPr>
          <w:color w:val="000000"/>
        </w:rPr>
      </w:r>
    </w:p>
    <w:p>
      <w:pPr>
        <w:pStyle w:val="Normal"/>
        <w:rPr/>
      </w:pPr>
      <w:r>
        <w:rPr/>
        <w:t>Cc:</w:t>
        <w:tab/>
        <w:t>Mark Haedicke</w:t>
      </w:r>
    </w:p>
    <w:p>
      <w:pPr>
        <w:pStyle w:val="Normal"/>
        <w:rPr/>
      </w:pPr>
      <w:r>
        <w:rPr/>
        <w:tab/>
        <w:t>Barbara Gray</w:t>
      </w:r>
    </w:p>
    <w:p>
      <w:pPr>
        <w:pStyle w:val="Normal"/>
        <w:rPr/>
      </w:pPr>
      <w:r>
        <w:rPr/>
        <w:tab/>
      </w:r>
    </w:p>
    <w:sectPr>
      <w:headerReference w:type="default" r:id="rId3"/>
      <w:headerReference w:type="first" r:id="rId4"/>
      <w:footerReference w:type="default" r:id="rId5"/>
      <w:footerReference w:type="first" r:id="rId6"/>
      <w:type w:val="nextPage"/>
      <w:pgSz w:w="12240" w:h="15840"/>
      <w:pgMar w:left="1440" w:right="144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/mnt/main-storage/datasets/enron-docs/doc/Agreement_summary-280900cabe31f0af7aa9aa6fcc2f3f4274ed4bbf1e34fa386a50eebef4029497.doc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rPr>
        <w:sz w:val="12"/>
      </w:rPr>
    </w:pPr>
    <w:r>
      <w:rPr>
        <w:sz w:val="12"/>
      </w:rPr>
    </w:r>
  </w:p>
  <w:p>
    <w:pPr>
      <w:pStyle w:val="Footer"/>
      <w:rPr>
        <w:sz w:val="16"/>
      </w:rPr>
    </w:pPr>
    <w:r>
      <w:rPr>
        <w:sz w:val="12"/>
      </w:rPr>
      <w:fldChar w:fldCharType="begin"/>
    </w:r>
    <w:r>
      <w:rPr>
        <w:sz w:val="12"/>
      </w:rPr>
      <w:instrText xml:space="preserve"> FILENAME \p </w:instrText>
    </w:r>
    <w:r>
      <w:rPr>
        <w:sz w:val="12"/>
      </w:rPr>
      <w:fldChar w:fldCharType="separate"/>
    </w:r>
    <w:r>
      <w:rPr>
        <w:sz w:val="12"/>
      </w:rPr>
      <w:t>/mnt/main-storage/datasets/enron-docs/doc/Agreement_summary-280900cabe31f0af7aa9aa6fcc2f3f4274ed4bbf1e34fa386a50eebef4029497.doc</w:t>
    </w:r>
    <w:r>
      <w:rPr>
        <w:sz w:val="12"/>
      </w:rPr>
      <w:fldChar w:fldCharType="end"/>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785"/>
        </w:tabs>
        <w:ind w:start="785"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color w:val="000000"/>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color w:val="000000"/>
      <w:u w:val="single"/>
    </w:rPr>
  </w:style>
  <w:style w:type="paragraph" w:styleId="Heading5">
    <w:name w:val="heading 5"/>
    <w:basedOn w:val="Normal"/>
    <w:next w:val="Normal"/>
    <w:qFormat/>
    <w:pPr>
      <w:keepNext w:val="true"/>
      <w:numPr>
        <w:ilvl w:val="4"/>
        <w:numId w:val="1"/>
      </w:numPr>
      <w:jc w:val="both"/>
      <w:outlineLvl w:val="4"/>
    </w:pPr>
    <w:rPr>
      <w:b/>
      <w:bCs/>
      <w:color w:val="000000"/>
      <w:u w:val="single"/>
    </w:rPr>
  </w:style>
  <w:style w:type="paragraph" w:styleId="Heading6">
    <w:name w:val="heading 6"/>
    <w:basedOn w:val="Normal"/>
    <w:next w:val="Normal"/>
    <w:qFormat/>
    <w:pPr>
      <w:keepNext w:val="true"/>
      <w:numPr>
        <w:ilvl w:val="5"/>
        <w:numId w:val="1"/>
      </w:numPr>
      <w:outlineLvl w:val="5"/>
    </w:pPr>
    <w:rPr>
      <w:b/>
      <w:bCs/>
      <w:u w:val="single"/>
    </w:rPr>
  </w:style>
  <w:style w:type="paragraph" w:styleId="Heading7">
    <w:name w:val="heading 7"/>
    <w:basedOn w:val="Normal"/>
    <w:next w:val="Normal"/>
    <w:qFormat/>
    <w:pPr>
      <w:keepNext w:val="true"/>
      <w:numPr>
        <w:ilvl w:val="6"/>
        <w:numId w:val="1"/>
      </w:numPr>
      <w:ind w:hanging="0" w:start="360" w:end="0"/>
      <w:outlineLvl w:val="6"/>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b/>
      <w:u w:val="single"/>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b/>
      <w:u w:val="singl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b/>
      <w:u w:val="single"/>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b/>
      <w:u w:val="single"/>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2000-10-27T13:01:00Z</dcterms:created>
  <dc:creator>ECT</dc:creator>
  <dc:description/>
  <dc:language>en-CA</dc:language>
  <cp:lastModifiedBy>akoehle</cp:lastModifiedBy>
  <cp:lastPrinted>2000-10-27T10:03:00Z</cp:lastPrinted>
  <dcterms:modified xsi:type="dcterms:W3CDTF">2000-10-27T19:11:00Z</dcterms:modified>
  <cp:revision>4</cp:revision>
  <dc:subject/>
  <dc:title> </dc:title>
</cp:coreProperties>
</file>