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 xml:space="preserve">Draft </w:t>
      </w:r>
      <w:r>
        <w:rPr>
          <w:b/>
        </w:rPr>
        <w:t>#3:</w:t>
      </w:r>
      <w:r>
        <w:rPr/>
        <w:t xml:space="preserve"> 5/3/’00 pm</w:t>
      </w:r>
      <w:r>
        <w:rPr>
          <w:b/>
        </w:rPr>
        <w:t>+</w:t>
      </w:r>
    </w:p>
    <w:p>
      <w:pPr>
        <w:pStyle w:val="Normal"/>
        <w:jc w:val="center"/>
        <w:rPr>
          <w:b/>
          <w:u w:val="single"/>
        </w:rPr>
      </w:pPr>
      <w:r>
        <w:rPr>
          <w:b/>
          <w:u w:val="single"/>
        </w:rPr>
      </w:r>
    </w:p>
    <w:p>
      <w:pPr>
        <w:pStyle w:val="Heading1"/>
        <w:ind w:hanging="0" w:start="0"/>
        <w:rPr/>
      </w:pPr>
      <w:r>
        <w:rPr/>
        <w:t>Agreement in Principle</w:t>
      </w:r>
    </w:p>
    <w:p>
      <w:pPr>
        <w:pStyle w:val="Normal"/>
        <w:jc w:val="center"/>
        <w:rPr/>
      </w:pPr>
      <w:r>
        <w:rPr/>
      </w:r>
    </w:p>
    <w:p>
      <w:pPr>
        <w:pStyle w:val="Normal"/>
        <w:numPr>
          <w:ilvl w:val="0"/>
          <w:numId w:val="4"/>
        </w:numPr>
        <w:spacing w:before="0" w:after="240"/>
        <w:rPr/>
      </w:pPr>
      <w:r>
        <w:rPr>
          <w:u w:val="single"/>
        </w:rPr>
        <w:t>Derivatives</w:t>
      </w:r>
      <w:r>
        <w:rPr/>
        <w:t>.  The CEA will not be expanded to cover transactions in “derivatives” that are not contracts of sale of a commodity for future delivery, commodity options or leverage transactions, except in the case of trading facilities that “opt-in” to CFTC regulation and in the case of clearing.</w:t>
      </w:r>
    </w:p>
    <w:p>
      <w:pPr>
        <w:pStyle w:val="Normal"/>
        <w:numPr>
          <w:ilvl w:val="0"/>
          <w:numId w:val="4"/>
        </w:numPr>
        <w:spacing w:before="0" w:after="240"/>
        <w:rPr/>
      </w:pPr>
      <w:r>
        <w:rPr>
          <w:u w:val="single"/>
        </w:rPr>
        <w:t>Trading Facility</w:t>
      </w:r>
      <w:r>
        <w:rPr/>
        <w:t xml:space="preserve">.  If the definition of trading facility is modified so that facilities on which bids and offers that may be accepted by </w:t>
      </w:r>
      <w:r>
        <w:rPr>
          <w:u w:val="single"/>
        </w:rPr>
        <w:t>multiple</w:t>
      </w:r>
      <w:r>
        <w:rPr/>
        <w:t xml:space="preserve"> rather than </w:t>
      </w:r>
      <w:r>
        <w:rPr>
          <w:u w:val="single"/>
        </w:rPr>
        <w:t>all</w:t>
      </w:r>
      <w:r>
        <w:rPr/>
        <w:t xml:space="preserve"> participants are included, then the legislation will also ensure (either through exceptions to the definition of trading facility or through exclusions that would be equivalent in scope) that:</w:t>
      </w:r>
    </w:p>
    <w:p>
      <w:pPr>
        <w:pStyle w:val="Normal"/>
        <w:numPr>
          <w:ilvl w:val="0"/>
          <w:numId w:val="2"/>
        </w:numPr>
        <w:tabs>
          <w:tab w:val="left" w:pos="720" w:leader="none"/>
        </w:tabs>
        <w:spacing w:before="0" w:after="240"/>
        <w:ind w:hanging="360" w:start="720" w:end="0"/>
        <w:rPr/>
      </w:pPr>
      <w:r>
        <w:rPr/>
        <w:t>facilities on which matched bids and offers are not binding, but are subject to subsequent acceptance by the counterparties based on counterparty credit considerations, or the execution of mutually acceptable bilateral transaction documentation or other considerations; and</w:t>
      </w:r>
    </w:p>
    <w:p>
      <w:pPr>
        <w:pStyle w:val="Normal"/>
        <w:numPr>
          <w:ilvl w:val="0"/>
          <w:numId w:val="2"/>
        </w:numPr>
        <w:tabs>
          <w:tab w:val="left" w:pos="720" w:leader="none"/>
        </w:tabs>
        <w:spacing w:before="0" w:after="240"/>
        <w:ind w:hanging="360" w:start="720" w:end="0"/>
        <w:rPr/>
      </w:pPr>
      <w:r>
        <w:rPr/>
        <w:t>communications systems on which the execution of a transaction results from the content of bilateral communications exchanged between the parties and not by the interaction of multiple orders within a predetermined, non-discretionary automated trade matching algorithm are not covered.</w:t>
      </w:r>
    </w:p>
    <w:p>
      <w:pPr>
        <w:pStyle w:val="Normal"/>
        <w:numPr>
          <w:ilvl w:val="0"/>
          <w:numId w:val="4"/>
        </w:numPr>
        <w:spacing w:before="0" w:after="240"/>
        <w:rPr/>
      </w:pPr>
      <w:r>
        <w:rPr>
          <w:u w:val="single"/>
        </w:rPr>
        <w:t>Excluded Commodities</w:t>
      </w:r>
      <w:r>
        <w:rPr/>
        <w:t>.  Excluded commodities would include all commodities, other than agricultural commodities, provided that the exclusion for non-financial commodities that raise a material manipulation risk (to be defined) would be subject to CEA anti-manipulation prohibitions.</w:t>
      </w:r>
    </w:p>
    <w:p>
      <w:pPr>
        <w:pStyle w:val="Normal"/>
        <w:numPr>
          <w:ilvl w:val="0"/>
          <w:numId w:val="4"/>
        </w:numPr>
        <w:spacing w:before="0" w:after="240"/>
        <w:rPr/>
      </w:pPr>
      <w:r>
        <w:rPr>
          <w:u w:val="single"/>
        </w:rPr>
        <w:t>OTC Exclusion</w:t>
      </w:r>
      <w:r>
        <w:rPr/>
        <w:t>.  The OTC exclusion would cover:</w:t>
      </w:r>
    </w:p>
    <w:p>
      <w:pPr>
        <w:pStyle w:val="Normal"/>
        <w:numPr>
          <w:ilvl w:val="0"/>
          <w:numId w:val="3"/>
        </w:numPr>
        <w:tabs>
          <w:tab w:val="left" w:pos="720" w:leader="none"/>
        </w:tabs>
        <w:spacing w:before="0" w:after="240"/>
        <w:ind w:hanging="360" w:start="720" w:end="0"/>
        <w:rPr/>
      </w:pPr>
      <w:r>
        <w:rPr/>
        <w:t>all transactions in excluded commodities between ECPs that are not conducted on a trading facility; and</w:t>
      </w:r>
    </w:p>
    <w:p>
      <w:pPr>
        <w:pStyle w:val="Normal"/>
        <w:numPr>
          <w:ilvl w:val="0"/>
          <w:numId w:val="3"/>
        </w:numPr>
        <w:tabs>
          <w:tab w:val="left" w:pos="720" w:leader="none"/>
        </w:tabs>
        <w:spacing w:before="0" w:after="240"/>
        <w:ind w:hanging="360" w:start="720" w:end="0"/>
        <w:rPr/>
      </w:pPr>
      <w:r>
        <w:rPr/>
        <w:t xml:space="preserve">all transactions conducted on a </w:t>
      </w:r>
      <w:r>
        <w:rPr>
          <w:u w:val="single"/>
        </w:rPr>
        <w:t>bona</w:t>
      </w:r>
      <w:r>
        <w:rPr/>
        <w:t xml:space="preserve"> </w:t>
      </w:r>
      <w:r>
        <w:rPr>
          <w:u w:val="single"/>
        </w:rPr>
        <w:t>fide</w:t>
      </w:r>
      <w:r>
        <w:rPr/>
        <w:t xml:space="preserve"> principal-to-principal basis by ECPs on </w:t>
      </w:r>
      <w:r>
        <w:rPr>
          <w:b/>
        </w:rPr>
        <w:t xml:space="preserve">an electronic </w:t>
      </w:r>
      <w:r>
        <w:rPr/>
        <w:t>trading facility, with an explanation to be agreed and included in the managers’ report (the phrase “directly or indirectly” would not be used).</w:t>
      </w:r>
    </w:p>
    <w:p>
      <w:pPr>
        <w:pStyle w:val="Normal"/>
        <w:numPr>
          <w:ilvl w:val="0"/>
          <w:numId w:val="4"/>
        </w:numPr>
        <w:spacing w:before="0" w:after="240"/>
        <w:rPr/>
      </w:pPr>
      <w:r>
        <w:rPr>
          <w:u w:val="single"/>
        </w:rPr>
        <w:t>Treasury Amendment</w:t>
      </w:r>
      <w:r>
        <w:rPr/>
        <w:t>.  The Treasury Amendment would extend to (i) all enumerated transactions not conducted on an organized exchange (as defined in the current Lugar draft bill) and (ii) transactions between a dealer that is regulated (or an affiliate) and non-ECPs (including transactions conducted on an electronic trading system on which only a single firm is entitled to act as a market maker and non-market maker counterparties may not accept bids and offers of other non-market maker counterparties (either directly or through the market maker running a matched book in which non-market maker counterparties’ bids and offers become the bids and offers of the market maker)).</w:t>
      </w:r>
    </w:p>
    <w:p>
      <w:pPr>
        <w:pStyle w:val="Normal"/>
        <w:numPr>
          <w:ilvl w:val="0"/>
          <w:numId w:val="4"/>
        </w:numPr>
        <w:spacing w:before="0" w:after="240"/>
        <w:rPr/>
      </w:pPr>
      <w:r>
        <w:rPr>
          <w:u w:val="single"/>
        </w:rPr>
        <w:t>Clearing</w:t>
      </w:r>
      <w:r>
        <w:rPr/>
        <w:t xml:space="preserve">.  Futures clearinghouses would be permitted to clear, subject to CFTC oversight as provided under the new legislation, transactions excluded from regulation under the CEA under the OTC exclusion, the electronic trading facility exclusion and the Treasury Amendment. </w:t>
      </w:r>
    </w:p>
    <w:p>
      <w:pPr>
        <w:pStyle w:val="Normal"/>
        <w:numPr>
          <w:ilvl w:val="0"/>
          <w:numId w:val="4"/>
        </w:numPr>
        <w:spacing w:before="0" w:after="240"/>
        <w:rPr>
          <w:b/>
        </w:rPr>
      </w:pPr>
      <w:r>
        <w:rPr>
          <w:b/>
          <w:u w:val="single"/>
        </w:rPr>
        <w:t>Hybrids</w:t>
      </w:r>
      <w:r>
        <w:rPr>
          <w:b/>
        </w:rPr>
        <w:t>.  Hybrid instruments would be excluded as contemplated in the Coalition’s legislative proposal.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2000-05-03T17:24:00Z</dcterms:created>
  <dc:creator>oem</dc:creator>
  <dc:description/>
  <dc:language>en-CA</dc:language>
  <cp:lastModifiedBy>oem</cp:lastModifiedBy>
  <cp:lastPrinted>2000-05-02T11:03:00Z</cp:lastPrinted>
  <dcterms:modified xsi:type="dcterms:W3CDTF">2000-05-03T17:24:00Z</dcterms:modified>
  <cp:revision>2</cp:revision>
  <dc:subject/>
  <dc:title>Agreement in Principle</dc:title>
</cp:coreProperties>
</file>