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pPr>
      <w:r>
        <w:rPr/>
        <w:drawing>
          <wp:inline distT="0" distB="0" distL="0" distR="0">
            <wp:extent cx="1952625" cy="266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35" r="-18" b="-135"/>
                    <a:stretch>
                      <a:fillRect/>
                    </a:stretch>
                  </pic:blipFill>
                  <pic:spPr bwMode="auto">
                    <a:xfrm>
                      <a:off x="0" y="0"/>
                      <a:ext cx="1952625" cy="266700"/>
                    </a:xfrm>
                    <a:prstGeom prst="rect">
                      <a:avLst/>
                    </a:prstGeom>
                    <a:noFill/>
                  </pic:spPr>
                </pic:pic>
              </a:graphicData>
            </a:graphic>
          </wp:inline>
        </w:drawing>
      </w:r>
    </w:p>
    <w:p>
      <w:pPr>
        <w:pStyle w:val="NormalWeb"/>
        <w:spacing w:before="0" w:after="0"/>
        <w:rPr>
          <w:vanish/>
        </w:rPr>
      </w:pPr>
      <w:r>
        <w:rPr>
          <w:vanish/>
        </w:rPr>
      </w:r>
    </w:p>
    <w:tbl>
      <w:tblPr>
        <w:tblW w:w="9892" w:type="dxa"/>
        <w:jc w:val="start"/>
        <w:tblInd w:w="-45" w:type="dxa"/>
        <w:tblLayout w:type="fixed"/>
        <w:tblCellMar>
          <w:top w:w="15" w:type="dxa"/>
          <w:start w:w="15" w:type="dxa"/>
          <w:bottom w:w="15" w:type="dxa"/>
          <w:end w:w="15" w:type="dxa"/>
        </w:tblCellMar>
      </w:tblPr>
      <w:tblGrid>
        <w:gridCol w:w="9892"/>
      </w:tblGrid>
      <w:tr>
        <w:trPr/>
        <w:tc>
          <w:tcPr>
            <w:tcW w:w="9892" w:type="dxa"/>
            <w:tcBorders/>
            <w:vAlign w:val="center"/>
          </w:tcPr>
          <w:p>
            <w:pPr>
              <w:pStyle w:val="Normal"/>
              <w:snapToGrid w:val="false"/>
              <w:rPr>
                <w:sz w:val="20"/>
                <w:szCs w:val="20"/>
              </w:rPr>
            </w:pPr>
            <w:r>
              <w:rPr>
                <w:sz w:val="20"/>
                <w:szCs w:val="20"/>
              </w:rPr>
            </w:r>
            <w:bookmarkStart w:id="0" w:name="instclient"/>
            <w:bookmarkStart w:id="1" w:name="instclient"/>
          </w:p>
          <w:p>
            <w:pPr>
              <w:pStyle w:val="Normal"/>
              <w:jc w:val="center"/>
              <w:rPr>
                <w:sz w:val="20"/>
                <w:szCs w:val="20"/>
              </w:rPr>
            </w:pPr>
            <w:r>
              <w:rPr>
                <w:b/>
                <w:bCs/>
                <w:sz w:val="20"/>
                <w:szCs w:val="20"/>
              </w:rPr>
              <w:t>BUYSIDEDIRECT SUBSCRIBER AGREEMENT</w:t>
            </w:r>
          </w:p>
          <w:p>
            <w:pPr>
              <w:pStyle w:val="Normal"/>
              <w:jc w:val="center"/>
              <w:rPr>
                <w:sz w:val="20"/>
                <w:szCs w:val="20"/>
              </w:rPr>
            </w:pPr>
            <w:r>
              <w:rPr>
                <w:sz w:val="20"/>
                <w:szCs w:val="20"/>
              </w:rPr>
              <w:t>DATED APRIL 7, 2000</w:t>
            </w:r>
          </w:p>
          <w:p>
            <w:pPr>
              <w:pStyle w:val="NormalWeb"/>
              <w:rPr>
                <w:sz w:val="20"/>
                <w:szCs w:val="20"/>
              </w:rPr>
            </w:pPr>
            <w:bookmarkStart w:id="2" w:name="instclient"/>
            <w:r>
              <w:rPr>
                <w:sz w:val="20"/>
                <w:szCs w:val="20"/>
              </w:rPr>
              <w:t xml:space="preserve">This subscriber agreement ("Agreement") is between BuySideDirect LLC, a Delaware limited liability company ("BuySideDirect"), and you ("Subscriber"), and may only be transferred or assigned in accordance with Section </w:t>
            </w:r>
            <w:bookmarkEnd w:id="2"/>
            <w:r>
              <w:rPr>
                <w:sz w:val="20"/>
                <w:szCs w:val="20"/>
              </w:rPr>
              <w:t>16 hereof.</w:t>
            </w:r>
          </w:p>
          <w:p>
            <w:pPr>
              <w:pStyle w:val="NormalWeb"/>
              <w:rPr/>
            </w:pPr>
            <w:bookmarkStart w:id="3" w:name="1"/>
            <w:r>
              <w:rPr>
                <w:sz w:val="20"/>
                <w:szCs w:val="20"/>
              </w:rPr>
              <w:t xml:space="preserve">1. </w:t>
            </w:r>
            <w:r>
              <w:rPr>
                <w:b/>
                <w:bCs/>
                <w:sz w:val="20"/>
                <w:szCs w:val="20"/>
              </w:rPr>
              <w:t>Term of Agreement.</w:t>
            </w:r>
            <w:r>
              <w:rPr>
                <w:sz w:val="20"/>
                <w:szCs w:val="20"/>
              </w:rPr>
              <w:t xml:space="preserve"> The initial term of this Agreement shall be for one year from the date hereof. This Agreement will be deemed to be continuing and automatically extended from year to year, unless terminated by either party pursuant to Section </w:t>
            </w:r>
            <w:bookmarkEnd w:id="3"/>
            <w:r>
              <w:rPr>
                <w:sz w:val="20"/>
                <w:szCs w:val="20"/>
              </w:rPr>
              <w:t>11.</w:t>
            </w:r>
          </w:p>
          <w:p>
            <w:pPr>
              <w:pStyle w:val="NormalWeb"/>
              <w:rPr/>
            </w:pPr>
            <w:bookmarkStart w:id="4" w:name="2"/>
            <w:r>
              <w:rPr>
                <w:sz w:val="20"/>
                <w:szCs w:val="20"/>
              </w:rPr>
              <w:t xml:space="preserve">2. </w:t>
            </w:r>
            <w:r>
              <w:rPr>
                <w:b/>
                <w:bCs/>
                <w:sz w:val="20"/>
                <w:szCs w:val="20"/>
              </w:rPr>
              <w:t>Provision of Services by BuySideDirect to Subscriber.</w:t>
            </w:r>
            <w:r>
              <w:rPr>
                <w:sz w:val="20"/>
                <w:szCs w:val="20"/>
              </w:rPr>
              <w:t xml:space="preserve"> Upon the acceptance of this Agreement by BuySideDirect and subject to the initial and ongoing approval by BuySideDirect, Subscriber will have access to the BuySideDirect Alternative Trading System (the "BuySideDirect System") and will have the right to enter limit orders in respect of the classes of equity and debt securities set forth on Schedule A to this Agreement through the BuySideDirect System, to modify such orders prior to the commencement of the execution thereof in the BuySideDirect System, to cancel such orders prior to the commencement of the execution thereof in the BuySideDirect System, to receive status updates on such orders and to execute trades against such orders on the BuySideDirect System (where "execution" for these purposes means execution of an order in the BuySideDirect System or by a third party trading system, exchange or market maker, as the case may be). All orders entered on the BuySideDirect System will be subject to the approval of BuySideDirect, pursuant to Section </w:t>
            </w:r>
            <w:bookmarkEnd w:id="4"/>
            <w:r>
              <w:rPr>
                <w:sz w:val="20"/>
                <w:szCs w:val="20"/>
              </w:rPr>
              <w:t>4.5 herein, on an ongoing basis. BuySideDirect reserves the right to modify or change its trading system and to modify the classes of securities set forth on Schedule A.</w:t>
            </w:r>
          </w:p>
          <w:p>
            <w:pPr>
              <w:pStyle w:val="NormalWeb"/>
              <w:rPr/>
            </w:pPr>
            <w:bookmarkStart w:id="5" w:name="3"/>
            <w:r>
              <w:rPr>
                <w:sz w:val="20"/>
                <w:szCs w:val="20"/>
              </w:rPr>
              <w:t xml:space="preserve">3. </w:t>
            </w:r>
            <w:r>
              <w:rPr>
                <w:b/>
                <w:bCs/>
                <w:sz w:val="20"/>
                <w:szCs w:val="20"/>
              </w:rPr>
              <w:t>Payment for Services by Subscriber to BuySideDirect.</w:t>
            </w:r>
            <w:r>
              <w:rPr>
                <w:sz w:val="20"/>
                <w:szCs w:val="20"/>
              </w:rPr>
              <w:t xml:space="preserve"> Subscriber agrees to pay to BuySideDirect for the use of the BuySideDirect System the charges set forth in Schedule B annexed hereto, which charges will be reflected as an aggregate adjustment to the execution price of the trade. Such charges may be changed by BuySideDirect effective at any time upon seven-days' notice to the Subscriber. Subscriber will commence payments for use of the BuySideDirect System pursuant to the terms set forth in Schedule </w:t>
            </w:r>
            <w:bookmarkEnd w:id="5"/>
            <w:r>
              <w:rPr>
                <w:sz w:val="20"/>
                <w:szCs w:val="20"/>
              </w:rPr>
              <w:t>B annexed hereto.</w:t>
            </w:r>
          </w:p>
          <w:p>
            <w:pPr>
              <w:pStyle w:val="NormalWeb"/>
              <w:rPr>
                <w:sz w:val="20"/>
                <w:szCs w:val="20"/>
              </w:rPr>
            </w:pPr>
            <w:bookmarkStart w:id="6" w:name="4"/>
            <w:bookmarkEnd w:id="6"/>
            <w:r>
              <w:rPr>
                <w:sz w:val="20"/>
                <w:szCs w:val="20"/>
              </w:rPr>
              <w:t xml:space="preserve">4. </w:t>
            </w:r>
            <w:r>
              <w:rPr>
                <w:b/>
                <w:bCs/>
                <w:sz w:val="20"/>
                <w:szCs w:val="20"/>
              </w:rPr>
              <w:t>Subscriber's Use of the BuySideDirect System, Information Provided Thereof and Limitations Thereon.</w:t>
            </w:r>
          </w:p>
          <w:p>
            <w:pPr>
              <w:pStyle w:val="NormalWeb"/>
              <w:rPr>
                <w:sz w:val="20"/>
                <w:szCs w:val="20"/>
              </w:rPr>
            </w:pPr>
            <w:bookmarkStart w:id="7" w:name="4"/>
            <w:bookmarkStart w:id="8" w:name="4.1"/>
            <w:bookmarkEnd w:id="7"/>
            <w:r>
              <w:rPr>
                <w:sz w:val="20"/>
                <w:szCs w:val="20"/>
              </w:rPr>
              <w:t xml:space="preserve">4.1. Subscriber acknowledges that the information provided by the BuySideDirect System as to the identity, price, and quantity of orders and interests entered by other subscribers, as well as the data base, programs, protocols, displays and manuals (including the selection, arrangement and sequencing of the contents thereof) are trade secrets proprietary and unique to the BuySideDirect System, as to which copyright and patent rights of BuySideDirect may also exist. Subscriber agrees to keep such information confidential, and to use this information solely for its own trading activities on the BuySideDirect System. Subscriber further agrees to take or cause to be taken all necessary precautions to maintain the secrecy and confidentiality of such proprietary information, and shall neither disclose nor permit any of its principals, agents, representatives or employees to disclose the same to any customers of Subscriber or to any other person for any purpose. This Section </w:t>
            </w:r>
            <w:bookmarkEnd w:id="8"/>
            <w:r>
              <w:rPr>
                <w:sz w:val="20"/>
                <w:szCs w:val="20"/>
              </w:rPr>
              <w:t>4.1 shall survive the termination of this Agreement.</w:t>
            </w:r>
          </w:p>
          <w:p>
            <w:pPr>
              <w:pStyle w:val="NormalWeb"/>
              <w:rPr>
                <w:sz w:val="20"/>
                <w:szCs w:val="20"/>
              </w:rPr>
            </w:pPr>
            <w:bookmarkStart w:id="9" w:name="4.2"/>
            <w:bookmarkEnd w:id="9"/>
            <w:r>
              <w:rPr>
                <w:sz w:val="20"/>
                <w:szCs w:val="20"/>
              </w:rPr>
              <w:t>4.2. Subscriber agrees not to permit any persons other than those listed on the BuySideDirect Subscriber Application ("Authorized Persons"), as hereafter completed by the Subscriber pursuant to the opening of Subscriber's account with BuySideDirect, to access or use the BuySideDirect System on behalf of Subscriber. Subscriber will regularly monitor the use of the BuySideDirect System by such Authorized Persons to ensure that such persons abide by, and comply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w:t>
            </w:r>
          </w:p>
          <w:p>
            <w:pPr>
              <w:pStyle w:val="NormalWeb"/>
              <w:rPr>
                <w:sz w:val="20"/>
                <w:szCs w:val="20"/>
              </w:rPr>
            </w:pPr>
            <w:bookmarkStart w:id="10" w:name="4.2"/>
            <w:bookmarkStart w:id="11" w:name="4.3"/>
            <w:bookmarkEnd w:id="10"/>
            <w:bookmarkEnd w:id="11"/>
            <w:r>
              <w:rPr>
                <w:sz w:val="20"/>
                <w:szCs w:val="20"/>
              </w:rPr>
              <w:t>4.3. SUBSCRIBER AGREES THAT NEITHER IT NOR ITS AUTHORIZED PERSONS WILL ACCESS OR USE THE BUYSIDEDIRECT SYSTEM FROM A PHYSICAL LOCATION OTHER THAN THE DISTRICT OF COLUMBIA, PUERTO RICO AND ALL STATES OF THE UNITED STATES, UNLESS THE SUBSCRIBER AND ITS ASSOCIATED PERSONS HAVE RECEIVED THE PRIOR WRITTEN OR ELECTRONIC APPROVAL OF BUYSIDEDIRECT.</w:t>
            </w:r>
          </w:p>
          <w:p>
            <w:pPr>
              <w:pStyle w:val="NormalWeb"/>
              <w:rPr>
                <w:sz w:val="20"/>
                <w:szCs w:val="20"/>
              </w:rPr>
            </w:pPr>
            <w:bookmarkStart w:id="12" w:name="4.3"/>
            <w:bookmarkStart w:id="13" w:name="4.4"/>
            <w:bookmarkEnd w:id="12"/>
            <w:bookmarkEnd w:id="13"/>
            <w:r>
              <w:rPr>
                <w:sz w:val="20"/>
                <w:szCs w:val="20"/>
              </w:rPr>
              <w:t>4.4 Subscriber represents that it and its Authorized Persons are duly licensed, if necessary, under applicable laws, rules, regulations or ordinances, and have the authority to enter orders in the BuySideDirect System in the types of securities traded on the BuySideDirect System. In addition, Subscriber represents that it has full right and power to enter into and be bound by this Agreement.</w:t>
            </w:r>
          </w:p>
          <w:p>
            <w:pPr>
              <w:pStyle w:val="NormalWeb"/>
              <w:rPr>
                <w:sz w:val="20"/>
                <w:szCs w:val="20"/>
              </w:rPr>
            </w:pPr>
            <w:bookmarkStart w:id="14" w:name="4.4"/>
            <w:bookmarkStart w:id="15" w:name="4.5"/>
            <w:bookmarkEnd w:id="14"/>
            <w:bookmarkEnd w:id="15"/>
            <w:r>
              <w:rPr>
                <w:sz w:val="20"/>
                <w:szCs w:val="20"/>
              </w:rPr>
              <w:t>4.5. Subscriber acknowledges that all orders entered by the Subscriber are subject to BuySideDirect's approval and BuySideDirect has the right, with or without cause, to cancel, reject and/or limit in size any such order at the sole discretion of BuySideDirect. In this regard, BuySideDirect may suspend the ability of Subscriber to enter orders into the BuySideDirect System for any reason.</w:t>
            </w:r>
          </w:p>
          <w:p>
            <w:pPr>
              <w:pStyle w:val="NormalWeb"/>
              <w:rPr>
                <w:sz w:val="20"/>
                <w:szCs w:val="20"/>
              </w:rPr>
            </w:pPr>
            <w:bookmarkStart w:id="16" w:name="4.5"/>
            <w:bookmarkStart w:id="17" w:name="4.6"/>
            <w:bookmarkEnd w:id="16"/>
            <w:bookmarkEnd w:id="17"/>
            <w:r>
              <w:rPr>
                <w:sz w:val="20"/>
                <w:szCs w:val="20"/>
              </w:rPr>
              <w:t xml:space="preserve">4.6. Subscriber acknowledges that BuySideDirect, in its sole discretion, may cancel both sides of a confirmed trade if (a) BuySideDirect determines that such trade was clearly erroneous and materially benefited one BuySideDirect Subscriber to the detriment of another BuySideDirect Subscriber and (b) BuySideDirect is notified by the disadvantaged Subscriber within 30 minutes of issuance of such trade confirmation. In addition, Subscriber acknowledges that BuySideDirect Subscribers are subject to the Clearly Erroneous Policies set forth by The Nasdaq Stock Market, Inc. and any external ATS or ECN through which BuySideDirect executes trades. As such, and notwithstanding that each side of a trade may not be clearly erroneous in its own right, Subscriber acknowledges that both sides of a confirmed trade may be cancelled pursuant to the terms of this Section if its execution thereof was contingent upon a trade executed external to the BuySideDirect System that is subsequently deemed subject to such Clearly Erroneous Policies. </w:t>
            </w:r>
          </w:p>
          <w:p>
            <w:pPr>
              <w:pStyle w:val="NormalWeb"/>
              <w:rPr>
                <w:sz w:val="20"/>
                <w:szCs w:val="20"/>
              </w:rPr>
            </w:pPr>
            <w:bookmarkStart w:id="18" w:name="4.6"/>
            <w:bookmarkStart w:id="19" w:name="4.7"/>
            <w:bookmarkEnd w:id="18"/>
            <w:bookmarkEnd w:id="19"/>
            <w:r>
              <w:rPr>
                <w:sz w:val="20"/>
                <w:szCs w:val="20"/>
              </w:rPr>
              <w:t>4.7. Subscriber agrees to abide by all rules and guidelines relating to the BuySideDirect System that may be separately provided or made available, electronically or otherwise, to Subscriber and which may hereafter be amended by BuySideDirect in its sole discretion.</w:t>
            </w:r>
          </w:p>
          <w:p>
            <w:pPr>
              <w:pStyle w:val="NormalWeb"/>
              <w:rPr>
                <w:sz w:val="20"/>
                <w:szCs w:val="20"/>
              </w:rPr>
            </w:pPr>
            <w:bookmarkStart w:id="20" w:name="4.7"/>
            <w:bookmarkStart w:id="21" w:name="4.8"/>
            <w:bookmarkEnd w:id="20"/>
            <w:bookmarkEnd w:id="21"/>
            <w:r>
              <w:rPr>
                <w:sz w:val="20"/>
                <w:szCs w:val="20"/>
              </w:rPr>
              <w:t>4.8. Subscriber understands and agrees that for the protection of both BuySideDirect and Subscriber, BuySideDirect may, in its sole discretion, electronically record any of Subscriber's or its Authorized Persons' telephone conversations with BuySideDirect or any of their actions in the BuySideDirect System.</w:t>
            </w:r>
          </w:p>
          <w:p>
            <w:pPr>
              <w:pStyle w:val="NormalWeb"/>
              <w:rPr>
                <w:sz w:val="20"/>
                <w:szCs w:val="20"/>
              </w:rPr>
            </w:pPr>
            <w:bookmarkStart w:id="22" w:name="4.8"/>
            <w:bookmarkStart w:id="23" w:name="4.9"/>
            <w:bookmarkEnd w:id="22"/>
            <w:bookmarkEnd w:id="23"/>
            <w:r>
              <w:rPr>
                <w:sz w:val="20"/>
                <w:szCs w:val="20"/>
              </w:rPr>
              <w:t>4.9. Subscriber agrees that it may only access the BuySideDirect System through an Authorized Person who, on behalf of Subscriber, must input a valid Subscriber identification and password provided thereto by BuySideDirect. Subscriber acknowledges that any orders entered into the BuySideDirect System by any person which has accessed the BuySideDirect System with a valid Subscriber identification and password, notwithstanding that such person may not be an Authorized Person, ARE valid orders, and will be treated by BuySideDirect as duly authorized by Subscriber and/or its Authorized Persons and in compliance with all applicable laws, rules, regulations or ordinances, domestic or foreign, including, but not limited to, federal and state securities laws, and rules and regulations thereunder, and any rules, regulations or by-laws of any self-regulatory securities organization or securities exchange of which Subscriber or such Authorized Persons are members or with which Subscriber or such Authorized Persons are registered. Subscriber represents that it will provide copies of this Agreement to each of its Authorized Persons prior to such Authorized Persons' initial use of the BuySideDirect System.</w:t>
            </w:r>
          </w:p>
          <w:p>
            <w:pPr>
              <w:pStyle w:val="NormalWeb"/>
              <w:rPr>
                <w:sz w:val="20"/>
                <w:szCs w:val="20"/>
              </w:rPr>
            </w:pPr>
            <w:bookmarkStart w:id="24" w:name="4.9"/>
            <w:bookmarkStart w:id="25" w:name="4.10"/>
            <w:bookmarkEnd w:id="24"/>
            <w:bookmarkEnd w:id="25"/>
            <w:r>
              <w:rPr>
                <w:sz w:val="20"/>
                <w:szCs w:val="20"/>
              </w:rPr>
              <w:t>4.10. Subscriber represents that it will not enter a short sale order unless it knows, at such time, the location of the securities subject to the short sale order and agrees to deliver such securities in good deliverable form within three business days of the date of the execution of such order in settlement thereof.</w:t>
            </w:r>
          </w:p>
          <w:p>
            <w:pPr>
              <w:pStyle w:val="NormalWeb"/>
              <w:rPr>
                <w:sz w:val="20"/>
                <w:szCs w:val="20"/>
              </w:rPr>
            </w:pPr>
            <w:bookmarkStart w:id="26" w:name="4.10"/>
            <w:bookmarkStart w:id="27" w:name="4.11"/>
            <w:bookmarkEnd w:id="26"/>
            <w:bookmarkEnd w:id="27"/>
            <w:r>
              <w:rPr>
                <w:sz w:val="20"/>
                <w:szCs w:val="20"/>
              </w:rPr>
              <w:t>4.11. Subscriber acknowledges that it is solely responsible for all telecommunications costs and all other expenses incurred in linking to, and maintaining its link to, the BuySideDirect System and that it is solely responsible for maintaining a connection to the BuySideDirect System of such minimum quality as BuySideDirect may reasonably prescribe from time to time.</w:t>
            </w:r>
          </w:p>
          <w:p>
            <w:pPr>
              <w:pStyle w:val="NormalWeb"/>
              <w:rPr>
                <w:sz w:val="20"/>
                <w:szCs w:val="20"/>
              </w:rPr>
            </w:pPr>
            <w:bookmarkStart w:id="28" w:name="4.11"/>
            <w:bookmarkStart w:id="29" w:name="5"/>
            <w:bookmarkEnd w:id="28"/>
            <w:bookmarkEnd w:id="29"/>
            <w:r>
              <w:rPr>
                <w:sz w:val="20"/>
                <w:szCs w:val="20"/>
              </w:rPr>
              <w:t xml:space="preserve">5. </w:t>
            </w:r>
            <w:r>
              <w:rPr>
                <w:b/>
                <w:bCs/>
                <w:sz w:val="20"/>
                <w:szCs w:val="20"/>
              </w:rPr>
              <w:t>Settlement of Transactions and Subscriber's Obligations.</w:t>
            </w:r>
          </w:p>
          <w:p>
            <w:pPr>
              <w:pStyle w:val="NormalWeb"/>
              <w:rPr>
                <w:sz w:val="20"/>
                <w:szCs w:val="20"/>
              </w:rPr>
            </w:pPr>
            <w:bookmarkStart w:id="30" w:name="5"/>
            <w:bookmarkStart w:id="31" w:name="5.1"/>
            <w:bookmarkEnd w:id="30"/>
            <w:bookmarkEnd w:id="31"/>
            <w:r>
              <w:rPr>
                <w:sz w:val="20"/>
                <w:szCs w:val="20"/>
              </w:rPr>
              <w:t>5.1. If Subscriber is not a broker or dealer, Subscriber agrees that it will open an account with the clearing broker designated by BuySideDirect for clearing and settling of orders executed in the BuySideDirect System prior to entering any order into the BuySideDirect System. If Subscriber is a broker or dealer, Subscriber agrees to abide by the arrangements set forth in Broker Dealer Attachments 1 and 2 to be provided pursuant to the opening of Subscriber's account with BuySideDirect (relating to Special Representative Designation and ACT Participation) with respect to the entry of any order into the BuySideDirect System.</w:t>
            </w:r>
          </w:p>
          <w:p>
            <w:pPr>
              <w:pStyle w:val="NormalWeb"/>
              <w:rPr>
                <w:sz w:val="20"/>
                <w:szCs w:val="20"/>
              </w:rPr>
            </w:pPr>
            <w:bookmarkStart w:id="32" w:name="5.1"/>
            <w:bookmarkStart w:id="33" w:name="5.2"/>
            <w:bookmarkEnd w:id="32"/>
            <w:bookmarkEnd w:id="33"/>
            <w:r>
              <w:rPr>
                <w:sz w:val="20"/>
                <w:szCs w:val="20"/>
              </w:rPr>
              <w:t>5.2. Subscriber agrees that the settlement of trades relating to orders entered by Subscriber into the BuySideDirect System will be effected in accordance with the manner set forth in information provided to Subscriber by BuySideDirect pursuant to the opening of Subscriber's account with BuySideDirect, as may hereafter be amended by BuySideDirect in its sole discretion.</w:t>
            </w:r>
          </w:p>
          <w:p>
            <w:pPr>
              <w:pStyle w:val="NormalWeb"/>
              <w:rPr>
                <w:sz w:val="20"/>
                <w:szCs w:val="20"/>
              </w:rPr>
            </w:pPr>
            <w:bookmarkStart w:id="34" w:name="5.2"/>
            <w:bookmarkStart w:id="35" w:name="5.3"/>
            <w:bookmarkEnd w:id="34"/>
            <w:bookmarkEnd w:id="35"/>
            <w:r>
              <w:rPr>
                <w:sz w:val="20"/>
                <w:szCs w:val="20"/>
              </w:rPr>
              <w:t>5.3. Subscriber agrees that it is the Subscriber's absolute, unconditional and unassignable obligation, with respect to orders entered by Subscriber into the BuySideDirect System, to make and ensure the timely delivery of the subject securities and/or funds, as well as any required remittance of interest, dividend payments, and/or other distributions. Subscriber will honor this settlement obligation: (i) whether or not its executed trade was made as a principal, or for a third party account as a broker, agent, trustee or other representative; (ii) whether or not any such third party account honors its obligations to deliver in a timely manner securities and/or funds, or to remit in a timely manner interest, dividends, or other distributions to Subscriber; (iii) whether or not said trade was executed by an Authorized Person, or was authorized by Subscriber; and (iv) whether or not Subscriber wishes to challenge or raise defenses of any nature whatsoever to the transaction. Without affecting the foregoing, in the event Subscriber does not receive timely delivery of securities and/or funds from a third party account, or if Subscriber becomes aware that a third party for whom Subscriber is acting is unwilling or unable to settle any transaction, Subscriber shall provide to BuySideDirect immediate notice thereof, including without limitation the identity (name and address) of the third party.</w:t>
            </w:r>
          </w:p>
          <w:p>
            <w:pPr>
              <w:pStyle w:val="NormalWeb"/>
              <w:rPr>
                <w:sz w:val="20"/>
                <w:szCs w:val="20"/>
              </w:rPr>
            </w:pPr>
            <w:bookmarkStart w:id="36" w:name="5.3"/>
            <w:bookmarkStart w:id="37" w:name="5.4"/>
            <w:bookmarkEnd w:id="36"/>
            <w:r>
              <w:rPr>
                <w:sz w:val="20"/>
                <w:szCs w:val="20"/>
              </w:rPr>
              <w:t xml:space="preserve">5.4. It is expressly understood and agreed that each other subscriber to the BuySideDirect System shall be and hereby is deemed to be a third-party beneficiary of Subscriber's obligations in Section </w:t>
            </w:r>
            <w:bookmarkEnd w:id="37"/>
            <w:r>
              <w:rPr>
                <w:sz w:val="20"/>
                <w:szCs w:val="20"/>
              </w:rPr>
              <w:t>5.3 above. If Subscriber breaches its obligations in Section 5.3 above, or otherwise challenges any executed trade made through the BuySideDirect System, BuySideDirect may in its sole discretion promptly disclose to the subscriber or subscribers on the other (contra) side of the transactions the name of the defaulting or challenging subscriber, as well as such supporting documentation pertaining to the transactions as is available to BuySideDirect. BuySideDirect may also inform its other subscribers of such default or challenge, and of the identity of the third party involved in the default, in BuySideDirect's sole discretion.</w:t>
            </w:r>
          </w:p>
          <w:p>
            <w:pPr>
              <w:pStyle w:val="NormalWeb"/>
              <w:rPr/>
            </w:pPr>
            <w:bookmarkStart w:id="38" w:name="6"/>
            <w:r>
              <w:rPr>
                <w:sz w:val="20"/>
                <w:szCs w:val="20"/>
              </w:rPr>
              <w:t xml:space="preserve">6. </w:t>
            </w:r>
            <w:r>
              <w:rPr>
                <w:b/>
                <w:bCs/>
                <w:sz w:val="20"/>
                <w:szCs w:val="20"/>
              </w:rPr>
              <w:t>Indemnity.</w:t>
            </w:r>
            <w:r>
              <w:rPr>
                <w:sz w:val="20"/>
                <w:szCs w:val="20"/>
              </w:rPr>
              <w:t xml:space="preserve"> Subscriber agrees to indemnify and hold harmless BuySideDirect and any related person or entity, including affiliates, officers, employees and directors of BuySideDirect and/or any affiliate or related person, and each other subscriber or third person on the contra side of any executed trade, from and against all expenses and costs (whether or not already paid), losses and damages (including any legal fees and expenses), direct, consequential and/or incidental in nature, claims, demands, proceedings, suits and actions, and all liabilities resulting from, in connection with, or arising out of any failure by Subscriber, for any reason, fraudulent, negligent, or otherwise, to comply with its obligations under this Agreement. </w:t>
            </w:r>
          </w:p>
          <w:p>
            <w:pPr>
              <w:pStyle w:val="NormalWeb"/>
              <w:rPr>
                <w:sz w:val="20"/>
                <w:szCs w:val="20"/>
              </w:rPr>
            </w:pPr>
            <w:bookmarkStart w:id="39" w:name="6"/>
            <w:r>
              <w:rPr>
                <w:sz w:val="20"/>
                <w:szCs w:val="20"/>
              </w:rPr>
              <w:t xml:space="preserve">This Section </w:t>
            </w:r>
            <w:bookmarkEnd w:id="39"/>
            <w:r>
              <w:rPr>
                <w:sz w:val="20"/>
                <w:szCs w:val="20"/>
              </w:rPr>
              <w:t>6 shall survive the termination of this Agreement.</w:t>
            </w:r>
          </w:p>
          <w:p>
            <w:pPr>
              <w:pStyle w:val="NormalWeb"/>
              <w:rPr/>
            </w:pPr>
            <w:bookmarkStart w:id="40" w:name="7"/>
            <w:r>
              <w:rPr>
                <w:sz w:val="20"/>
                <w:szCs w:val="20"/>
              </w:rPr>
              <w:t xml:space="preserve">7. </w:t>
            </w:r>
            <w:r>
              <w:rPr>
                <w:b/>
                <w:bCs/>
                <w:sz w:val="20"/>
                <w:szCs w:val="20"/>
              </w:rPr>
              <w:t>Confidential Nature of Subscriber's Identity.</w:t>
            </w:r>
            <w:r>
              <w:rPr>
                <w:sz w:val="20"/>
                <w:szCs w:val="20"/>
              </w:rPr>
              <w:t xml:space="preserve"> BuySideDirect shall not disclose the identity of Subscriber and the data BuySideDirect collects to other subscribers or to third parties in connection with any transactions executed or any messages sent or received by Subscriber on the BuySideDirect System, except that BuySideDirect may make such disclosure: </w:t>
            </w:r>
          </w:p>
          <w:p>
            <w:pPr>
              <w:pStyle w:val="Normal"/>
              <w:numPr>
                <w:ilvl w:val="0"/>
                <w:numId w:val="1"/>
              </w:numPr>
              <w:spacing w:before="0" w:after="0"/>
              <w:rPr>
                <w:sz w:val="20"/>
                <w:szCs w:val="20"/>
              </w:rPr>
            </w:pPr>
            <w:r>
              <w:rPr>
                <w:sz w:val="20"/>
                <w:szCs w:val="20"/>
              </w:rPr>
              <w:t xml:space="preserve">pursuant to authorization by the Subscriber in writing; </w:t>
            </w:r>
          </w:p>
          <w:p>
            <w:pPr>
              <w:pStyle w:val="Normal"/>
              <w:numPr>
                <w:ilvl w:val="0"/>
                <w:numId w:val="1"/>
              </w:numPr>
              <w:spacing w:before="0" w:after="0"/>
              <w:rPr>
                <w:sz w:val="20"/>
                <w:szCs w:val="20"/>
              </w:rPr>
            </w:pPr>
            <w:r>
              <w:rPr>
                <w:sz w:val="20"/>
                <w:szCs w:val="20"/>
              </w:rPr>
              <w:t xml:space="preserve">pursuant to an order or subpoena of a court or regulatory body having jurisdiction over BuySideDirect; or </w:t>
            </w:r>
          </w:p>
          <w:p>
            <w:pPr>
              <w:pStyle w:val="Normal"/>
              <w:numPr>
                <w:ilvl w:val="0"/>
                <w:numId w:val="1"/>
              </w:numPr>
              <w:spacing w:before="0" w:after="0"/>
              <w:rPr>
                <w:sz w:val="20"/>
                <w:szCs w:val="20"/>
              </w:rPr>
            </w:pPr>
            <w:r>
              <w:rPr>
                <w:sz w:val="20"/>
                <w:szCs w:val="20"/>
              </w:rPr>
              <w:t xml:space="preserve">where required by law or regulation to be made available to any regulatory body having appropriate authority; or </w:t>
            </w:r>
          </w:p>
          <w:p>
            <w:pPr>
              <w:pStyle w:val="Normal"/>
              <w:numPr>
                <w:ilvl w:val="0"/>
                <w:numId w:val="1"/>
              </w:numPr>
              <w:spacing w:before="0" w:after="0"/>
              <w:rPr>
                <w:sz w:val="20"/>
                <w:szCs w:val="20"/>
              </w:rPr>
            </w:pPr>
            <w:r>
              <w:rPr>
                <w:sz w:val="20"/>
                <w:szCs w:val="20"/>
              </w:rPr>
              <w:t xml:space="preserve">as part of a distribution or analysis of trade data which may disclose trade prices and quantities, but not the identity of trade participants; or </w:t>
            </w:r>
          </w:p>
          <w:p>
            <w:pPr>
              <w:pStyle w:val="Normal"/>
              <w:numPr>
                <w:ilvl w:val="0"/>
                <w:numId w:val="1"/>
              </w:numPr>
              <w:spacing w:before="0" w:after="280"/>
              <w:rPr>
                <w:sz w:val="20"/>
                <w:szCs w:val="20"/>
              </w:rPr>
            </w:pPr>
            <w:bookmarkStart w:id="41" w:name="7"/>
            <w:r>
              <w:rPr>
                <w:sz w:val="20"/>
                <w:szCs w:val="20"/>
              </w:rPr>
              <w:t xml:space="preserve">pursuant to Section </w:t>
            </w:r>
            <w:bookmarkEnd w:id="41"/>
            <w:r>
              <w:rPr>
                <w:sz w:val="20"/>
                <w:szCs w:val="20"/>
              </w:rPr>
              <w:t xml:space="preserve">5.4 of this Agreement. </w:t>
            </w:r>
          </w:p>
          <w:p>
            <w:pPr>
              <w:pStyle w:val="Normal"/>
              <w:rPr>
                <w:sz w:val="20"/>
                <w:szCs w:val="20"/>
              </w:rPr>
            </w:pPr>
            <w:r>
              <w:rPr>
                <w:sz w:val="20"/>
                <w:szCs w:val="20"/>
              </w:rPr>
              <w:t xml:space="preserve">BuySideDirect shall give prompt notice to Subscriber of the receipt of such an order, subpoena or regulatory request, which notice shall be given prior to BuySideDirect's compliance therewith. </w:t>
            </w:r>
          </w:p>
          <w:p>
            <w:pPr>
              <w:pStyle w:val="NormalWeb"/>
              <w:rPr>
                <w:sz w:val="20"/>
                <w:szCs w:val="20"/>
              </w:rPr>
            </w:pPr>
            <w:r>
              <w:rPr>
                <w:sz w:val="20"/>
                <w:szCs w:val="20"/>
              </w:rPr>
              <w:t>This Section 7 shall survive the termination of this Agreement.</w:t>
            </w:r>
          </w:p>
          <w:p>
            <w:pPr>
              <w:pStyle w:val="NormalWeb"/>
              <w:rPr>
                <w:sz w:val="20"/>
                <w:szCs w:val="20"/>
              </w:rPr>
            </w:pPr>
            <w:bookmarkStart w:id="42" w:name="8"/>
            <w:bookmarkEnd w:id="42"/>
            <w:r>
              <w:rPr>
                <w:sz w:val="20"/>
                <w:szCs w:val="20"/>
              </w:rPr>
              <w:t xml:space="preserve">8. </w:t>
            </w:r>
            <w:r>
              <w:rPr>
                <w:b/>
                <w:bCs/>
                <w:sz w:val="20"/>
                <w:szCs w:val="20"/>
              </w:rPr>
              <w:t>Liabilities of BuySideDirect.</w:t>
            </w:r>
          </w:p>
          <w:p>
            <w:pPr>
              <w:pStyle w:val="NormalWeb"/>
              <w:rPr>
                <w:sz w:val="20"/>
                <w:szCs w:val="20"/>
              </w:rPr>
            </w:pPr>
            <w:bookmarkStart w:id="43" w:name="8"/>
            <w:bookmarkStart w:id="44" w:name="8.1"/>
            <w:bookmarkEnd w:id="43"/>
            <w:r>
              <w:rPr>
                <w:sz w:val="20"/>
                <w:szCs w:val="20"/>
              </w:rPr>
              <w:t>8.1. Subscriber and BuySideDirect agree that BuySideDirect and any related person or entity, including affiliates, officers, employees and directors of BuySideDirect and/or any affiliate or related person, shall not be liable for any loss of profits, loss of use, loss of cost or other savings, or damage suffered or costs and expenses incurred by Subscriber, by any customer or account of Subscriber, or by any third party, of any nature, or from any cause whatsoever, whether direct, special, incidental or consequential, arising out of the furnishing, performance, maintenance, or use of, or inability to use, the BuySideDirect System, notwithstanding that BuySideDirect has been advised of the possibility that damages of that sort may or will arise. In this regard, Subscriber agrees that BuySideDirect is not liable for the accuracy of any securities information furnished by BuySideDirect to Subscriber on the BuySideDirect System.</w:t>
            </w:r>
          </w:p>
          <w:p>
            <w:pPr>
              <w:pStyle w:val="NormalWeb"/>
              <w:rPr>
                <w:sz w:val="20"/>
                <w:szCs w:val="20"/>
              </w:rPr>
            </w:pPr>
            <w:bookmarkStart w:id="45" w:name="8.2"/>
            <w:bookmarkEnd w:id="45"/>
            <w:r>
              <w:rPr>
                <w:sz w:val="20"/>
                <w:szCs w:val="20"/>
              </w:rPr>
              <w:t>8.2. Subscriber acknowledges that it and its officers, directors, employees, representatives and agents are not employees, agents, representatives, or brokers acting for or on behalf of BuySideDirect or any affiliate of BuySideDirect.</w:t>
            </w:r>
          </w:p>
          <w:p>
            <w:pPr>
              <w:pStyle w:val="NormalWeb"/>
              <w:rPr>
                <w:sz w:val="20"/>
                <w:szCs w:val="20"/>
              </w:rPr>
            </w:pPr>
            <w:bookmarkStart w:id="46" w:name="8.2"/>
            <w:bookmarkStart w:id="47" w:name="8.3"/>
            <w:bookmarkEnd w:id="46"/>
            <w:bookmarkEnd w:id="47"/>
            <w:r>
              <w:rPr>
                <w:sz w:val="20"/>
                <w:szCs w:val="20"/>
              </w:rPr>
              <w:t>8.3. The services provided by BuySideDirect pursuant to this Agreement are provided "as is," without warranty of any kind by BuySideDirect or any of its affiliates, including, but not limited to, any implied warranties of merchantability, fitness for a particular purpose, trade usage, course of dealing, or course of performance, title, and non-infringement. The entire risk as to the quality and performance of the BuySideDirect System is with the Subscriber and there is no guarantee that the services provided by BuySideDirect will meet the Subscriber's requirements, be error free, or operate without interruption.</w:t>
            </w:r>
          </w:p>
          <w:p>
            <w:pPr>
              <w:pStyle w:val="NormalWeb"/>
              <w:rPr>
                <w:sz w:val="20"/>
                <w:szCs w:val="20"/>
              </w:rPr>
            </w:pPr>
            <w:bookmarkStart w:id="48" w:name="8.3"/>
            <w:bookmarkEnd w:id="48"/>
            <w:r>
              <w:rPr>
                <w:sz w:val="20"/>
                <w:szCs w:val="20"/>
              </w:rPr>
              <w:t>8.4. Notwithstanding any other term or condition of this Subscriber Agreement, BuySideDirect will not be responsible for any loss or damage to the Subscriber if caused in whole or in part by the occurrence of any contingency beyond the control of BuySideDirect, including, but not limited to, unauthorized access to the BuySideDirect System by third parties (including Subscriber firewall failures), delays in transmission of data to the BuySideDirect System, Internet Service Provider connection failures, Internet browser failures or transmission errors, trading halts implemented by applicable trading markets, work stoppages, fires, civil disobedience, riots, rebellions, accidents, explosions, interruptions or imperfections in telephone service, electrical disturbances, brown-outs or black-outs, floods, storms, acts of God, and similar occurrences.</w:t>
            </w:r>
          </w:p>
          <w:p>
            <w:pPr>
              <w:pStyle w:val="NormalWeb"/>
              <w:rPr>
                <w:sz w:val="20"/>
                <w:szCs w:val="20"/>
              </w:rPr>
            </w:pPr>
            <w:bookmarkStart w:id="49" w:name="8.1"/>
            <w:r>
              <w:rPr>
                <w:sz w:val="20"/>
                <w:szCs w:val="20"/>
              </w:rPr>
              <w:t xml:space="preserve">This Section </w:t>
            </w:r>
            <w:bookmarkEnd w:id="49"/>
            <w:r>
              <w:rPr>
                <w:sz w:val="20"/>
                <w:szCs w:val="20"/>
              </w:rPr>
              <w:t>8 shall survive the termination of this Agreement.</w:t>
            </w:r>
          </w:p>
          <w:p>
            <w:pPr>
              <w:pStyle w:val="NormalWeb"/>
              <w:rPr/>
            </w:pPr>
            <w:bookmarkStart w:id="50" w:name="9"/>
            <w:bookmarkEnd w:id="50"/>
            <w:r>
              <w:rPr>
                <w:sz w:val="20"/>
                <w:szCs w:val="20"/>
              </w:rPr>
              <w:t xml:space="preserve">9. </w:t>
            </w:r>
            <w:r>
              <w:rPr>
                <w:b/>
                <w:bCs/>
                <w:sz w:val="20"/>
                <w:szCs w:val="20"/>
              </w:rPr>
              <w:t>ERISA Accounts.</w:t>
            </w:r>
            <w:r>
              <w:rPr>
                <w:sz w:val="20"/>
                <w:szCs w:val="20"/>
              </w:rPr>
              <w:t xml:space="preserve"> If the person executing the BuySideDirect Subscriber Application is acting on behalf of a Subscriber who is an "employee benefit plan," as defined in and subject to the Employee Retirement Income Security Act of 1974, as amended, or a Subscriber who is a "plan," as defined in and subject to Section 4975 of the Internal Revenue Code of 1986, as amended (a "Plan"), then the individual signing the BuySideDirect BuySideDirect Subscriber Application on behalf of the Subscriber, in addition to the representations and warranties set forth above, hereby further represents and warrants as, or on behalf of, the fiduciary of the Plan responsible for using the BuySideDirect System (the "Plan Fiduciary") that by using the BuySideDirect System, the Plan Fiduciary understands that BuySideDirect: (i) does not have investment discretion with respect to the investment of any assets of the Plan; (ii) does not have authority or responsibility to or regularly gives investment advice with respect to any assets of the Plan; and (iii) is not otherwise a fiduciary to the Plan.</w:t>
            </w:r>
          </w:p>
          <w:p>
            <w:pPr>
              <w:pStyle w:val="NormalWeb"/>
              <w:rPr/>
            </w:pPr>
            <w:bookmarkStart w:id="51" w:name="9"/>
            <w:bookmarkStart w:id="52" w:name="10"/>
            <w:bookmarkEnd w:id="51"/>
            <w:bookmarkEnd w:id="52"/>
            <w:r>
              <w:rPr>
                <w:sz w:val="20"/>
                <w:szCs w:val="20"/>
              </w:rPr>
              <w:t xml:space="preserve">10. </w:t>
            </w:r>
            <w:r>
              <w:rPr>
                <w:b/>
                <w:bCs/>
                <w:sz w:val="20"/>
                <w:szCs w:val="20"/>
              </w:rPr>
              <w:t>Bankruptcy.</w:t>
            </w:r>
            <w:r>
              <w:rPr>
                <w:sz w:val="20"/>
                <w:szCs w:val="20"/>
              </w:rPr>
              <w:t xml:space="preserve"> Subscriber acknowledges that, pursuant to Section 555 of the United States Bankruptcy Code, in the event of the dissolution, insolvency or bankruptcy of the Subscriber, BuySideDirect may liquidate any pending or open securities contracts of the Subscriber on the BuySideDirect System.</w:t>
            </w:r>
          </w:p>
          <w:p>
            <w:pPr>
              <w:pStyle w:val="NormalWeb"/>
              <w:rPr/>
            </w:pPr>
            <w:bookmarkStart w:id="53" w:name="10"/>
            <w:bookmarkStart w:id="54" w:name="11"/>
            <w:bookmarkEnd w:id="53"/>
            <w:r>
              <w:rPr>
                <w:sz w:val="20"/>
                <w:szCs w:val="20"/>
              </w:rPr>
              <w:t xml:space="preserve">11. </w:t>
            </w:r>
            <w:r>
              <w:rPr>
                <w:b/>
                <w:bCs/>
                <w:sz w:val="20"/>
                <w:szCs w:val="20"/>
              </w:rPr>
              <w:t>Termination By Either Party With or Without Cause.</w:t>
            </w:r>
            <w:r>
              <w:rPr>
                <w:sz w:val="20"/>
                <w:szCs w:val="20"/>
              </w:rPr>
              <w:t xml:space="preserve"> Either BuySideDirect or Subscriber may terminate this Agreement without prior notice with or without cause, provided that Subscriber shall remain subject to its payment obligation under Section </w:t>
            </w:r>
            <w:bookmarkEnd w:id="54"/>
            <w:r>
              <w:rPr>
                <w:sz w:val="20"/>
                <w:szCs w:val="20"/>
              </w:rPr>
              <w:t>3 of this Agreement with respect to any order entered into the BuySideDirect System by Subscriber prior to the termination of this Agreement and executed by or through the BuySideDirect System after the termination thereof.</w:t>
            </w:r>
          </w:p>
          <w:p>
            <w:pPr>
              <w:pStyle w:val="NormalWeb"/>
              <w:rPr/>
            </w:pPr>
            <w:bookmarkStart w:id="55" w:name="12"/>
            <w:bookmarkEnd w:id="55"/>
            <w:r>
              <w:rPr>
                <w:sz w:val="20"/>
                <w:szCs w:val="20"/>
              </w:rPr>
              <w:t xml:space="preserve">12. </w:t>
            </w:r>
            <w:r>
              <w:rPr>
                <w:b/>
                <w:bCs/>
                <w:sz w:val="20"/>
                <w:szCs w:val="20"/>
              </w:rPr>
              <w:t>Notices.</w:t>
            </w:r>
            <w:r>
              <w:rPr>
                <w:sz w:val="20"/>
                <w:szCs w:val="20"/>
              </w:rPr>
              <w:t xml:space="preserve"> Unless otherwise specified, all notices and other communications required or permitted hereunder may be made either in writing or electronically and shall be deemed to have been duly given (i) if in writing, when delivered by hand or mailed, certified or registered mail with postage prepaid, to the address of Subscriber or BuySideDirect as the Subscriber or BuySideDirect may furnish and (ii) if electronic, (a) by facsimile, (b) by electronic mail or (c) when posted on the "Notices" screen of the BuySideDirect System.</w:t>
            </w:r>
          </w:p>
          <w:p>
            <w:pPr>
              <w:pStyle w:val="NormalWeb"/>
              <w:rPr/>
            </w:pPr>
            <w:bookmarkStart w:id="56" w:name="12"/>
            <w:bookmarkStart w:id="57" w:name="13"/>
            <w:bookmarkEnd w:id="56"/>
            <w:bookmarkEnd w:id="57"/>
            <w:r>
              <w:rPr>
                <w:sz w:val="20"/>
                <w:szCs w:val="20"/>
              </w:rPr>
              <w:t xml:space="preserve">13. </w:t>
            </w:r>
            <w:r>
              <w:rPr>
                <w:b/>
                <w:bCs/>
                <w:sz w:val="20"/>
                <w:szCs w:val="20"/>
              </w:rPr>
              <w:t>Headings.</w:t>
            </w:r>
            <w:r>
              <w:rPr>
                <w:sz w:val="20"/>
                <w:szCs w:val="20"/>
              </w:rPr>
              <w:t xml:space="preserve"> The headings of the Sections of this Agreement are inserted for convenience only and shall not constitute a part hereof or affect in any way the meaning or interpretation of this Agreement.</w:t>
            </w:r>
          </w:p>
          <w:p>
            <w:pPr>
              <w:pStyle w:val="NormalWeb"/>
              <w:rPr/>
            </w:pPr>
            <w:bookmarkStart w:id="58" w:name="13"/>
            <w:bookmarkStart w:id="59" w:name="14"/>
            <w:bookmarkEnd w:id="58"/>
            <w:bookmarkEnd w:id="59"/>
            <w:r>
              <w:rPr>
                <w:sz w:val="20"/>
                <w:szCs w:val="20"/>
              </w:rPr>
              <w:t xml:space="preserve">14. </w:t>
            </w:r>
            <w:r>
              <w:rPr>
                <w:b/>
                <w:bCs/>
                <w:sz w:val="20"/>
                <w:szCs w:val="20"/>
              </w:rPr>
              <w:t>Entire Agreement.</w:t>
            </w:r>
            <w:r>
              <w:rPr>
                <w:sz w:val="20"/>
                <w:szCs w:val="20"/>
              </w:rPr>
              <w:t xml:space="preserve"> This Agreement and the Schedules attached hereto shall constitute the entire agreement between BuySideDirect and Subscriber, and shall supersede any prior agreements, arrangements, representations or promises, whether oral or written. Except as otherwise set forth herein, this Agreement may only be amended by (i) a writing executed by both parties hereto or (ii) an electronic record assented to by both parties.</w:t>
            </w:r>
          </w:p>
          <w:p>
            <w:pPr>
              <w:pStyle w:val="NormalWeb"/>
              <w:rPr/>
            </w:pPr>
            <w:bookmarkStart w:id="60" w:name="14"/>
            <w:bookmarkStart w:id="61" w:name="15"/>
            <w:bookmarkEnd w:id="60"/>
            <w:bookmarkEnd w:id="61"/>
            <w:r>
              <w:rPr>
                <w:sz w:val="20"/>
                <w:szCs w:val="20"/>
              </w:rPr>
              <w:t xml:space="preserve">15. </w:t>
            </w:r>
            <w:r>
              <w:rPr>
                <w:b/>
                <w:bCs/>
                <w:sz w:val="20"/>
                <w:szCs w:val="20"/>
              </w:rPr>
              <w:t>Severability.</w:t>
            </w:r>
            <w:r>
              <w:rPr>
                <w:sz w:val="20"/>
                <w:szCs w:val="20"/>
              </w:rPr>
              <w:t xml:space="preserve"> If any provision of this Agreement is held to be invalid, void or unenforceable by reason of any law, rule, administrative order or judicial decision, that determination shall not affect the validity of the remaining provisions of this Agreement.</w:t>
            </w:r>
          </w:p>
          <w:p>
            <w:pPr>
              <w:pStyle w:val="NormalWeb"/>
              <w:rPr/>
            </w:pPr>
            <w:bookmarkStart w:id="62" w:name="15"/>
            <w:bookmarkStart w:id="63" w:name="16"/>
            <w:bookmarkEnd w:id="62"/>
            <w:bookmarkEnd w:id="63"/>
            <w:r>
              <w:rPr>
                <w:sz w:val="20"/>
                <w:szCs w:val="20"/>
              </w:rPr>
              <w:t xml:space="preserve">16. </w:t>
            </w:r>
            <w:r>
              <w:rPr>
                <w:b/>
                <w:bCs/>
                <w:sz w:val="20"/>
                <w:szCs w:val="20"/>
              </w:rPr>
              <w:t>Assignment.</w:t>
            </w:r>
            <w:r>
              <w:rPr>
                <w:sz w:val="20"/>
                <w:szCs w:val="20"/>
              </w:rPr>
              <w:t xml:space="preserve"> This Agreement may not be assigned or transferred by Subscriber to any other person. BuySideDirect in its sole discretion may assign this Agreement at any time to any person which is established or prepared to provide the services described herein, provided that Subscriber is given notice at least seven days prior to such assignment.</w:t>
            </w:r>
          </w:p>
          <w:p>
            <w:pPr>
              <w:pStyle w:val="NormalWeb"/>
              <w:rPr>
                <w:sz w:val="20"/>
                <w:szCs w:val="20"/>
              </w:rPr>
            </w:pPr>
            <w:bookmarkStart w:id="64" w:name="16"/>
            <w:bookmarkStart w:id="65" w:name="17"/>
            <w:bookmarkEnd w:id="64"/>
            <w:bookmarkEnd w:id="65"/>
            <w:r>
              <w:rPr>
                <w:sz w:val="20"/>
                <w:szCs w:val="20"/>
              </w:rPr>
              <w:t xml:space="preserve">17. </w:t>
            </w:r>
            <w:r>
              <w:rPr>
                <w:b/>
                <w:bCs/>
                <w:sz w:val="20"/>
                <w:szCs w:val="20"/>
              </w:rPr>
              <w:t>Governing Law; Jurisdiction.</w:t>
            </w:r>
          </w:p>
          <w:p>
            <w:pPr>
              <w:pStyle w:val="NormalWeb"/>
              <w:rPr>
                <w:sz w:val="20"/>
                <w:szCs w:val="20"/>
              </w:rPr>
            </w:pPr>
            <w:bookmarkStart w:id="66" w:name="17"/>
            <w:bookmarkStart w:id="67" w:name="17.1"/>
            <w:bookmarkEnd w:id="66"/>
            <w:bookmarkEnd w:id="67"/>
            <w:r>
              <w:rPr>
                <w:sz w:val="20"/>
                <w:szCs w:val="20"/>
              </w:rPr>
              <w:t>17.1. THIS AGREEMENT IS MADE PURSUANT TO AND SHALL BE GOVERNED BY THE LAWS OF THE STATE OF CALIFORNIA, NOTWITHSTANDING THE LOCATION OF ANY OFFICE, VENTURE OR OPERATION OF BUYSIDEDIRECT AND SUBSCRIBER.</w:t>
            </w:r>
          </w:p>
          <w:p>
            <w:pPr>
              <w:pStyle w:val="NormalWeb"/>
              <w:rPr>
                <w:sz w:val="20"/>
                <w:szCs w:val="20"/>
              </w:rPr>
            </w:pPr>
            <w:bookmarkStart w:id="68" w:name="17.1"/>
            <w:bookmarkStart w:id="69" w:name="17.2"/>
            <w:bookmarkEnd w:id="68"/>
            <w:bookmarkEnd w:id="69"/>
            <w:r>
              <w:rPr>
                <w:sz w:val="20"/>
                <w:szCs w:val="20"/>
              </w:rPr>
              <w:t>17.2. ANY ACTION OR PROCEEDING AGAINST THE PARTIES HERETO RELATING IN ANY WAY TO THIS AGREEMENT MAY BE BROUGHT AND ENFORCED EXCLUSIVELY IN THE COURTS OF SAN FRANCISCO COUNTY IN THE STATE OF CALIFORNIA OR (TO THE EXTENT SUBJECT MATTER JURISDICTION EXISTS THEREFOR) IN THE COURTS OF THE UNITED STATES FOR THE NORTHERN DISTRICT OF CALIFORNIA, AND THE PARTIES HERETO IRREVOCABLY SUBMIT TO THE JURISDICTION OF BOTH SUCH STATE AND FEDERAL COURTS IN RESPECT OF SUCH ACTION OR PROCEEDING. THE PARTIES HERETO IRREVOCABLY WAIVE, TO THE FULLEST EXTENT PERMITTED BY LAW, ANY OBJECTION THAT THEY MAY NOW OR HEREAFTER HAVE TO LAYING THE VENUE OF ANY SUCH ACTION OR PROCEEDING IN THE COURTS OF SAN FRANCISCO COUNTY IN THE STATE OF CALIFORNIA OR IN THE COURTS OF THE UNITED STATES FOR THE NORTHERN DISTRICT OF CALIFORNIA AND ANY CLAIM THAT ANY SUCH ACTION OR PROCEEDING BROUGHT IN ANY SUCH COURT HAS BEEN BROUGHT IN AN INCONVENIENT FORUM.</w:t>
            </w:r>
          </w:p>
          <w:p>
            <w:pPr>
              <w:pStyle w:val="Normal"/>
              <w:rPr>
                <w:sz w:val="20"/>
                <w:szCs w:val="20"/>
              </w:rPr>
            </w:pPr>
            <w:r>
              <w:rPr>
                <w:sz w:val="20"/>
                <w:szCs w:val="20"/>
              </w:rPr>
            </w:r>
            <w:bookmarkStart w:id="70" w:name="17.2"/>
            <w:bookmarkStart w:id="71" w:name="a"/>
            <w:bookmarkStart w:id="72" w:name="17.2"/>
            <w:bookmarkStart w:id="73" w:name="a"/>
            <w:bookmarkEnd w:id="72"/>
            <w:bookmarkEnd w:id="73"/>
          </w:p>
          <w:p>
            <w:pPr>
              <w:pStyle w:val="Normal"/>
              <w:jc w:val="center"/>
              <w:rPr>
                <w:sz w:val="20"/>
                <w:szCs w:val="20"/>
              </w:rPr>
            </w:pPr>
            <w:r>
              <w:rPr>
                <w:b/>
                <w:bCs/>
                <w:sz w:val="20"/>
                <w:szCs w:val="20"/>
              </w:rPr>
              <w:t>SCHEDULE A</w:t>
            </w:r>
          </w:p>
          <w:p>
            <w:pPr>
              <w:pStyle w:val="Normal"/>
              <w:jc w:val="center"/>
              <w:rPr>
                <w:sz w:val="20"/>
                <w:szCs w:val="20"/>
              </w:rPr>
            </w:pPr>
            <w:r>
              <w:rPr>
                <w:b/>
                <w:bCs/>
                <w:sz w:val="20"/>
                <w:szCs w:val="20"/>
              </w:rPr>
              <w:t>DESIGNATION OF SECURITIES TO BE TRADED</w:t>
            </w:r>
          </w:p>
          <w:p>
            <w:pPr>
              <w:pStyle w:val="Normal"/>
              <w:jc w:val="center"/>
              <w:rPr>
                <w:sz w:val="20"/>
                <w:szCs w:val="20"/>
              </w:rPr>
            </w:pPr>
            <w:r>
              <w:rPr>
                <w:b/>
                <w:bCs/>
                <w:sz w:val="20"/>
                <w:szCs w:val="20"/>
              </w:rPr>
              <w:t>ON THE BUYSIDEDIRECT SYSTEM</w:t>
            </w:r>
          </w:p>
          <w:p>
            <w:pPr>
              <w:pStyle w:val="Normal"/>
              <w:rPr>
                <w:sz w:val="20"/>
                <w:szCs w:val="20"/>
              </w:rPr>
            </w:pPr>
            <w:r>
              <w:rPr>
                <w:sz w:val="20"/>
                <w:szCs w:val="20"/>
              </w:rPr>
            </w:r>
          </w:p>
          <w:tbl>
            <w:tblPr>
              <w:tblW w:w="8038" w:type="dxa"/>
              <w:jc w:val="start"/>
              <w:tblInd w:w="8" w:type="dxa"/>
              <w:tblLayout w:type="fixed"/>
              <w:tblCellMar>
                <w:top w:w="15" w:type="dxa"/>
                <w:start w:w="15" w:type="dxa"/>
                <w:bottom w:w="15" w:type="dxa"/>
                <w:end w:w="15" w:type="dxa"/>
              </w:tblCellMar>
            </w:tblPr>
            <w:tblGrid>
              <w:gridCol w:w="2849"/>
              <w:gridCol w:w="1229"/>
              <w:gridCol w:w="3960"/>
            </w:tblGrid>
            <w:tr>
              <w:trPr/>
              <w:tc>
                <w:tcPr>
                  <w:tcW w:w="2849" w:type="dxa"/>
                  <w:tcBorders/>
                  <w:vAlign w:val="center"/>
                </w:tcPr>
                <w:p>
                  <w:pPr>
                    <w:pStyle w:val="Normal"/>
                    <w:rPr>
                      <w:b/>
                      <w:bCs/>
                      <w:sz w:val="20"/>
                      <w:szCs w:val="20"/>
                    </w:rPr>
                  </w:pPr>
                  <w:r>
                    <w:rPr>
                      <w:b/>
                      <w:bCs/>
                      <w:sz w:val="20"/>
                      <w:szCs w:val="20"/>
                    </w:rPr>
                    <w:t>Initial Securities to be Traded</w:t>
                  </w:r>
                </w:p>
              </w:tc>
              <w:tc>
                <w:tcPr>
                  <w:tcW w:w="1229" w:type="dxa"/>
                  <w:tcBorders/>
                  <w:vAlign w:val="center"/>
                </w:tcPr>
                <w:p>
                  <w:pPr>
                    <w:pStyle w:val="Normal"/>
                    <w:rPr/>
                  </w:pPr>
                  <w:r>
                    <w:rPr/>
                    <w:t> </w:t>
                  </w:r>
                </w:p>
              </w:tc>
              <w:tc>
                <w:tcPr>
                  <w:tcW w:w="3960" w:type="dxa"/>
                  <w:tcBorders/>
                  <w:vAlign w:val="center"/>
                </w:tcPr>
                <w:p>
                  <w:pPr>
                    <w:pStyle w:val="Normal"/>
                    <w:rPr>
                      <w:b/>
                      <w:bCs/>
                      <w:sz w:val="20"/>
                      <w:szCs w:val="20"/>
                    </w:rPr>
                  </w:pPr>
                  <w:r>
                    <w:rPr>
                      <w:b/>
                      <w:bCs/>
                      <w:sz w:val="20"/>
                      <w:szCs w:val="20"/>
                    </w:rPr>
                    <w:t>Securities to be Traded in Future</w:t>
                  </w:r>
                </w:p>
              </w:tc>
            </w:tr>
            <w:tr>
              <w:trPr/>
              <w:tc>
                <w:tcPr>
                  <w:tcW w:w="2849" w:type="dxa"/>
                  <w:tcBorders/>
                  <w:vAlign w:val="center"/>
                </w:tcPr>
                <w:p>
                  <w:pPr>
                    <w:pStyle w:val="Normal"/>
                    <w:rPr>
                      <w:sz w:val="20"/>
                      <w:szCs w:val="20"/>
                    </w:rPr>
                  </w:pPr>
                  <w:r>
                    <w:rPr>
                      <w:sz w:val="20"/>
                      <w:szCs w:val="20"/>
                    </w:rPr>
                    <w:t>144A Convertible Bonds</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Adjustable Rate Mortgages</w:t>
                  </w:r>
                </w:p>
              </w:tc>
            </w:tr>
            <w:tr>
              <w:trPr/>
              <w:tc>
                <w:tcPr>
                  <w:tcW w:w="2849" w:type="dxa"/>
                  <w:tcBorders/>
                  <w:vAlign w:val="center"/>
                </w:tcPr>
                <w:p>
                  <w:pPr>
                    <w:pStyle w:val="Normal"/>
                    <w:rPr>
                      <w:sz w:val="20"/>
                      <w:szCs w:val="20"/>
                    </w:rPr>
                  </w:pPr>
                  <w:r>
                    <w:rPr>
                      <w:sz w:val="20"/>
                      <w:szCs w:val="20"/>
                    </w:rPr>
                    <w:t>Registered Convertible Bonds</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Municipal Securities</w:t>
                  </w:r>
                </w:p>
              </w:tc>
            </w:tr>
            <w:tr>
              <w:trPr/>
              <w:tc>
                <w:tcPr>
                  <w:tcW w:w="2849" w:type="dxa"/>
                  <w:tcBorders/>
                  <w:vAlign w:val="center"/>
                </w:tcPr>
                <w:p>
                  <w:pPr>
                    <w:pStyle w:val="Normal"/>
                    <w:rPr>
                      <w:sz w:val="20"/>
                      <w:szCs w:val="20"/>
                    </w:rPr>
                  </w:pPr>
                  <w:r>
                    <w:rPr>
                      <w:sz w:val="20"/>
                      <w:szCs w:val="20"/>
                    </w:rPr>
                    <w:t>Convertible Preferreds</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Asset Backed Securities</w:t>
                  </w:r>
                </w:p>
              </w:tc>
            </w:tr>
            <w:tr>
              <w:trPr/>
              <w:tc>
                <w:tcPr>
                  <w:tcW w:w="2849" w:type="dxa"/>
                  <w:tcBorders/>
                  <w:vAlign w:val="center"/>
                </w:tcPr>
                <w:p>
                  <w:pPr>
                    <w:pStyle w:val="Normal"/>
                    <w:rPr>
                      <w:sz w:val="20"/>
                      <w:szCs w:val="20"/>
                    </w:rPr>
                  </w:pPr>
                  <w:r>
                    <w:rPr>
                      <w:sz w:val="20"/>
                      <w:szCs w:val="20"/>
                    </w:rPr>
                    <w:t>Mandatory Convertible Preferreds</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Collateralized Mortgage Obligations</w:t>
                  </w:r>
                </w:p>
              </w:tc>
            </w:tr>
            <w:tr>
              <w:trPr/>
              <w:tc>
                <w:tcPr>
                  <w:tcW w:w="2849" w:type="dxa"/>
                  <w:tcBorders/>
                  <w:vAlign w:val="center"/>
                </w:tcPr>
                <w:p>
                  <w:pPr>
                    <w:pStyle w:val="Normal"/>
                    <w:rPr>
                      <w:sz w:val="20"/>
                      <w:szCs w:val="20"/>
                    </w:rPr>
                  </w:pPr>
                  <w:r>
                    <w:rPr>
                      <w:sz w:val="20"/>
                      <w:szCs w:val="20"/>
                    </w:rPr>
                    <w:t>Common Stock</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GNMA, FNMA, &amp; Freddie Mac Securities</w:t>
                  </w:r>
                </w:p>
              </w:tc>
            </w:tr>
            <w:tr>
              <w:trPr/>
              <w:tc>
                <w:tcPr>
                  <w:tcW w:w="2849" w:type="dxa"/>
                  <w:tcBorders/>
                  <w:vAlign w:val="center"/>
                </w:tcPr>
                <w:p>
                  <w:pPr>
                    <w:pStyle w:val="Normal"/>
                    <w:rPr/>
                  </w:pPr>
                  <w:r>
                    <w:rPr/>
                    <w:t> </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Brady Bonds</w:t>
                  </w:r>
                </w:p>
              </w:tc>
            </w:tr>
            <w:tr>
              <w:trPr/>
              <w:tc>
                <w:tcPr>
                  <w:tcW w:w="2849" w:type="dxa"/>
                  <w:tcBorders/>
                  <w:vAlign w:val="center"/>
                </w:tcPr>
                <w:p>
                  <w:pPr>
                    <w:pStyle w:val="Normal"/>
                    <w:rPr/>
                  </w:pPr>
                  <w:r>
                    <w:rPr/>
                    <w:t> </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Sovereign Debt</w:t>
                  </w:r>
                </w:p>
              </w:tc>
            </w:tr>
            <w:tr>
              <w:trPr/>
              <w:tc>
                <w:tcPr>
                  <w:tcW w:w="2849" w:type="dxa"/>
                  <w:tcBorders/>
                  <w:vAlign w:val="center"/>
                </w:tcPr>
                <w:p>
                  <w:pPr>
                    <w:pStyle w:val="Normal"/>
                    <w:rPr/>
                  </w:pPr>
                  <w:r>
                    <w:rPr/>
                    <w:t> </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Euro Bonds</w:t>
                  </w:r>
                </w:p>
              </w:tc>
            </w:tr>
            <w:tr>
              <w:trPr/>
              <w:tc>
                <w:tcPr>
                  <w:tcW w:w="2849" w:type="dxa"/>
                  <w:tcBorders/>
                  <w:vAlign w:val="center"/>
                </w:tcPr>
                <w:p>
                  <w:pPr>
                    <w:pStyle w:val="Normal"/>
                    <w:rPr/>
                  </w:pPr>
                  <w:r>
                    <w:rPr/>
                    <w:t> </w:t>
                  </w:r>
                </w:p>
              </w:tc>
              <w:tc>
                <w:tcPr>
                  <w:tcW w:w="1229" w:type="dxa"/>
                  <w:tcBorders/>
                  <w:vAlign w:val="center"/>
                </w:tcPr>
                <w:p>
                  <w:pPr>
                    <w:pStyle w:val="Normal"/>
                    <w:rPr/>
                  </w:pPr>
                  <w:r>
                    <w:rPr/>
                    <w:t> </w:t>
                  </w:r>
                </w:p>
              </w:tc>
              <w:tc>
                <w:tcPr>
                  <w:tcW w:w="3960" w:type="dxa"/>
                  <w:tcBorders/>
                  <w:vAlign w:val="center"/>
                </w:tcPr>
                <w:p>
                  <w:pPr>
                    <w:pStyle w:val="Normal"/>
                    <w:rPr>
                      <w:sz w:val="20"/>
                      <w:szCs w:val="20"/>
                    </w:rPr>
                  </w:pPr>
                  <w:r>
                    <w:rPr>
                      <w:sz w:val="20"/>
                      <w:szCs w:val="20"/>
                    </w:rPr>
                    <w:t>Corporate Securities</w:t>
                  </w:r>
                </w:p>
              </w:tc>
            </w:tr>
          </w:tbl>
          <w:p>
            <w:pPr>
              <w:pStyle w:val="Normal"/>
              <w:rPr>
                <w:sz w:val="20"/>
                <w:szCs w:val="20"/>
              </w:rPr>
            </w:pPr>
            <w:r>
              <w:rPr>
                <w:sz w:val="20"/>
                <w:szCs w:val="20"/>
              </w:rPr>
            </w:r>
            <w:bookmarkStart w:id="74" w:name="a"/>
            <w:bookmarkStart w:id="75" w:name="b"/>
            <w:bookmarkStart w:id="76" w:name="a"/>
            <w:bookmarkStart w:id="77" w:name="b"/>
            <w:bookmarkEnd w:id="76"/>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sz w:val="20"/>
                <w:szCs w:val="20"/>
              </w:rPr>
            </w:pPr>
            <w:r>
              <w:rPr>
                <w:b/>
                <w:bCs/>
                <w:sz w:val="20"/>
                <w:szCs w:val="20"/>
              </w:rPr>
              <w:t>SCHEDULE B</w:t>
            </w:r>
          </w:p>
          <w:p>
            <w:pPr>
              <w:pStyle w:val="Normal"/>
              <w:jc w:val="center"/>
              <w:rPr>
                <w:sz w:val="20"/>
                <w:szCs w:val="20"/>
              </w:rPr>
            </w:pPr>
            <w:r>
              <w:rPr>
                <w:b/>
                <w:bCs/>
                <w:sz w:val="20"/>
                <w:szCs w:val="20"/>
              </w:rPr>
              <w:t>SCHEDULE OF FEES</w:t>
            </w:r>
            <w:r>
              <w:rPr>
                <w:b/>
                <w:bCs/>
                <w:sz w:val="20"/>
                <w:szCs w:val="20"/>
                <w:vertAlign w:val="superscript"/>
              </w:rPr>
              <w:t>1</w:t>
            </w:r>
          </w:p>
          <w:p>
            <w:pPr>
              <w:pStyle w:val="NormalWeb"/>
              <w:rPr/>
            </w:pPr>
            <w:r>
              <w:rPr>
                <w:b/>
                <w:bCs/>
                <w:sz w:val="20"/>
                <w:szCs w:val="20"/>
              </w:rPr>
              <w:t>Convertible Bond Introductory Pricing Schedule:</w:t>
            </w:r>
            <w:r>
              <w:rPr>
                <w:b/>
                <w:bCs/>
                <w:sz w:val="20"/>
                <w:szCs w:val="20"/>
                <w:vertAlign w:val="superscript"/>
              </w:rPr>
              <w:t>2</w:t>
            </w:r>
            <w:r>
              <w:rPr/>
              <w:t xml:space="preserve"> </w:t>
            </w:r>
          </w:p>
          <w:tbl>
            <w:tblPr>
              <w:tblW w:w="7069" w:type="dxa"/>
              <w:jc w:val="start"/>
              <w:tblInd w:w="-22" w:type="dxa"/>
              <w:tblLayout w:type="fixed"/>
              <w:tblCellMar>
                <w:top w:w="15" w:type="dxa"/>
                <w:start w:w="15" w:type="dxa"/>
                <w:bottom w:w="15" w:type="dxa"/>
                <w:end w:w="15" w:type="dxa"/>
              </w:tblCellMar>
            </w:tblPr>
            <w:tblGrid>
              <w:gridCol w:w="3532"/>
              <w:gridCol w:w="1639"/>
              <w:gridCol w:w="1898"/>
            </w:tblGrid>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c>
                <w:tcPr>
                  <w:tcW w:w="163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sz w:val="20"/>
                      <w:szCs w:val="20"/>
                    </w:rPr>
                    <w:t>Liquidity Provider</w:t>
                  </w:r>
                  <w:r>
                    <w:rPr>
                      <w:sz w:val="20"/>
                      <w:szCs w:val="20"/>
                      <w:vertAlign w:val="superscript"/>
                    </w:rPr>
                    <w:t>3</w:t>
                  </w:r>
                </w:p>
              </w:tc>
              <w:tc>
                <w:tcPr>
                  <w:tcW w:w="18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sz w:val="20"/>
                      <w:szCs w:val="20"/>
                    </w:rPr>
                    <w:t>Liquidity Beneficiary</w:t>
                  </w:r>
                  <w:r>
                    <w:rPr>
                      <w:sz w:val="20"/>
                      <w:szCs w:val="20"/>
                      <w:vertAlign w:val="superscript"/>
                    </w:rPr>
                    <w:t>4</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Bonds (per $100 face amount)</w:t>
                  </w:r>
                </w:p>
              </w:tc>
              <w:tc>
                <w:tcPr>
                  <w:tcW w:w="163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pPr>
                  <w:r>
                    <w:rPr>
                      <w:sz w:val="20"/>
                      <w:szCs w:val="20"/>
                    </w:rPr>
                    <w:t>- 3 cents</w:t>
                  </w:r>
                  <w:r>
                    <w:rPr>
                      <w:sz w:val="20"/>
                      <w:szCs w:val="20"/>
                      <w:vertAlign w:val="superscript"/>
                    </w:rPr>
                    <w:t>5</w:t>
                  </w:r>
                </w:p>
              </w:tc>
              <w:tc>
                <w:tcPr>
                  <w:tcW w:w="18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+ 3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Convertible Preferreds (per share)</w:t>
                  </w:r>
                </w:p>
              </w:tc>
              <w:tc>
                <w:tcPr>
                  <w:tcW w:w="163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c>
                <w:tcPr>
                  <w:tcW w:w="18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+ 1.5 cents</w:t>
                  </w:r>
                </w:p>
              </w:tc>
            </w:tr>
            <w:tr>
              <w:trPr/>
              <w:tc>
                <w:tcPr>
                  <w:tcW w:w="353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sz w:val="20"/>
                      <w:szCs w:val="20"/>
                    </w:rPr>
                  </w:pPr>
                  <w:r>
                    <w:rPr>
                      <w:sz w:val="20"/>
                      <w:szCs w:val="20"/>
                    </w:rPr>
                    <w:t>Contingent Common Stock (per share)</w:t>
                  </w:r>
                </w:p>
              </w:tc>
              <w:tc>
                <w:tcPr>
                  <w:tcW w:w="163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c>
                <w:tcPr>
                  <w:tcW w:w="18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jc w:val="center"/>
                    <w:rPr>
                      <w:sz w:val="20"/>
                      <w:szCs w:val="20"/>
                    </w:rPr>
                  </w:pPr>
                  <w:r>
                    <w:rPr>
                      <w:sz w:val="20"/>
                      <w:szCs w:val="20"/>
                    </w:rPr>
                    <w:t>+ 1 cent</w:t>
                  </w:r>
                </w:p>
              </w:tc>
            </w:tr>
          </w:tbl>
          <w:p>
            <w:pPr>
              <w:pStyle w:val="Normal"/>
              <w:spacing w:before="0" w:after="240"/>
              <w:rPr/>
            </w:pPr>
            <w:r>
              <w:rPr>
                <w:sz w:val="20"/>
                <w:szCs w:val="20"/>
              </w:rPr>
              <w:br/>
            </w:r>
            <w:r>
              <w:rPr>
                <w:sz w:val="20"/>
                <w:szCs w:val="20"/>
                <w:vertAlign w:val="superscript"/>
              </w:rPr>
              <w:t>1</w:t>
            </w:r>
            <w:r>
              <w:rPr>
                <w:sz w:val="20"/>
                <w:szCs w:val="20"/>
              </w:rPr>
              <w:t xml:space="preserve"> All fees (whether positive or negative) are added to the purchase price of an executed buy order, or subtracted from the sale price of an executed sell order. In other words, the prices shown on the BuySideDirect system are gross, while the final execution price will be net of any fees as designated in this schedule. </w:t>
              <w:br/>
            </w:r>
            <w:r>
              <w:rPr>
                <w:sz w:val="20"/>
                <w:szCs w:val="20"/>
                <w:vertAlign w:val="superscript"/>
              </w:rPr>
              <w:t>2</w:t>
            </w:r>
            <w:r>
              <w:rPr>
                <w:sz w:val="20"/>
                <w:szCs w:val="20"/>
              </w:rPr>
              <w:t xml:space="preserve"> The Introductory Pricing Schedule is valid for at least three months after system launch. As per Section </w:t>
            </w:r>
            <w:bookmarkEnd w:id="77"/>
            <w:r>
              <w:rPr>
                <w:sz w:val="20"/>
                <w:szCs w:val="20"/>
              </w:rPr>
              <w:t xml:space="preserve">3 of the Subscriber Agreement, BuySideDirect will announce its post-Introductory Pricing Schedule at least 7 days prior to changing its fees. </w:t>
              <w:br/>
            </w:r>
            <w:r>
              <w:rPr>
                <w:sz w:val="20"/>
                <w:szCs w:val="20"/>
                <w:vertAlign w:val="superscript"/>
              </w:rPr>
              <w:t>3</w:t>
            </w:r>
            <w:r>
              <w:rPr>
                <w:sz w:val="20"/>
                <w:szCs w:val="20"/>
              </w:rPr>
              <w:t xml:space="preserve"> A Liquidity Provider in a BuySideDirect matched trade is an order that is designated “Show to All” and which matches with a hidden or subsequently-entered order. Please note the designation of Liquidity Provider and Liquidity Beneficiary is determined on a trade-by-trade basis. </w:t>
              <w:br/>
            </w:r>
            <w:r>
              <w:rPr>
                <w:sz w:val="20"/>
                <w:szCs w:val="20"/>
                <w:vertAlign w:val="superscript"/>
              </w:rPr>
              <w:t>4</w:t>
            </w:r>
            <w:r>
              <w:rPr>
                <w:sz w:val="20"/>
                <w:szCs w:val="20"/>
              </w:rPr>
              <w:t xml:space="preserve"> A Liquidity Beneficiary in a BuySideDirect matched trade is any order that is selectively shown or any order that matches with a Liquidity Provider. </w:t>
              <w:br/>
            </w:r>
            <w:r>
              <w:rPr>
                <w:sz w:val="20"/>
                <w:szCs w:val="20"/>
                <w:vertAlign w:val="superscript"/>
              </w:rPr>
              <w:t>5</w:t>
            </w:r>
            <w:r>
              <w:rPr>
                <w:sz w:val="20"/>
                <w:szCs w:val="20"/>
              </w:rPr>
              <w:t xml:space="preserve"> Negative values indicate payment to Subscriber. </w:t>
            </w:r>
          </w:p>
        </w:tc>
      </w:tr>
    </w:tbl>
    <w:p>
      <w:pPr>
        <w:pStyle w:val="Normal"/>
        <w:rPr/>
      </w:pPr>
      <w:r>
        <w:rPr/>
      </w:r>
    </w:p>
    <w:sectPr>
      <w:footerReference w:type="default" r:id="rId3"/>
      <w:type w:val="nextPage"/>
      <w:pgSz w:w="12240" w:h="15840"/>
      <w:pgMar w:left="1260" w:right="9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2000-06-08T19:58:00Z</dcterms:created>
  <dc:creator>Michael Minnich</dc:creator>
  <dc:description/>
  <dc:language>en-CA</dc:language>
  <cp:lastModifiedBy>Michael Chun</cp:lastModifiedBy>
  <cp:lastPrinted>2000-05-05T15:46:00Z</cp:lastPrinted>
  <dcterms:modified xsi:type="dcterms:W3CDTF">2000-06-08T19:58:00Z</dcterms:modified>
  <cp:revision>2</cp:revision>
  <dc:subject/>
  <dc:title>BuySideDirect Subscriber Agreement, Dated April 7, 2000</dc:title>
</cp:coreProperties>
</file>