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sz w:val="23"/>
        </w:rPr>
      </w:pPr>
      <w:r>
        <w:rPr>
          <w:sz w:val="23"/>
        </w:rPr>
        <w:t xml:space="preserve"> </w:t>
      </w:r>
    </w:p>
    <w:p>
      <w:pPr>
        <w:pStyle w:val="Heading3"/>
        <w:spacing w:lineRule="auto" w:line="240"/>
        <w:ind w:hanging="0" w:start="0"/>
        <w:rPr>
          <w:sz w:val="23"/>
        </w:rPr>
      </w:pPr>
      <w:r>
        <w:rPr>
          <w:sz w:val="23"/>
        </w:rPr>
        <w:t>AGREEMENT TO TERMS OF EMPLOYMENT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3"/>
        </w:rPr>
      </w:pPr>
      <w:r>
        <w:rPr>
          <w:sz w:val="23"/>
        </w:rPr>
      </w:r>
    </w:p>
    <w:p>
      <w:pPr>
        <w:pStyle w:val="BodyText2"/>
        <w:spacing w:lineRule="auto" w:line="240"/>
        <w:rPr>
          <w:sz w:val="23"/>
        </w:rPr>
      </w:pPr>
      <w:r>
        <w:rPr>
          <w:sz w:val="23"/>
        </w:rPr>
        <w:tab/>
        <w:t>This Agreement to Terms of Employment (“Agreement”) describes the employment of ____________________ (“You” or “Employee”) and ____________________, or its successor in interest (the “Company”), which is conditioned on the consummation of the transaction (the “Transaction”) in which the Company and/or certain of its affiliates acquire certain assets associated with Enron Corp.’s North American natural gas and electric trading business through the auction of those assets in conjunction with matters relating to Enron Corp.’s Chapter 11 petition filed with the United States Bankruptcy Court.  In the event that the Transaction is not consummated on or before February1, 2002, for any reason, the terms of this document shall be considered null and void, and this Agreement shall have no force and effect.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3"/>
        </w:rPr>
      </w:pPr>
      <w:r>
        <w:rPr>
          <w:sz w:val="23"/>
        </w:rPr>
      </w:r>
    </w:p>
    <w:p>
      <w:pPr>
        <w:pStyle w:val="BodyText2"/>
        <w:tabs>
          <w:tab w:val="clear" w:pos="1440"/>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uto" w:line="240" w:before="0" w:after="120"/>
        <w:rPr/>
      </w:pPr>
      <w:r>
        <w:rPr>
          <w:sz w:val="23"/>
        </w:rPr>
        <w:t>1.</w:t>
        <w:tab/>
      </w:r>
      <w:r>
        <w:rPr>
          <w:sz w:val="23"/>
          <w:u w:val="single"/>
        </w:rPr>
        <w:t>Compensation and Benefits</w:t>
      </w:r>
      <w:r>
        <w:rPr>
          <w:sz w:val="23"/>
        </w:rPr>
        <w:t>.</w:t>
      </w:r>
    </w:p>
    <w:p>
      <w:pPr>
        <w:pStyle w:val="BodyText2"/>
        <w:spacing w:lineRule="auto" w:line="240"/>
        <w:rPr/>
      </w:pPr>
      <w:r>
        <w:rPr>
          <w:sz w:val="23"/>
        </w:rPr>
        <w:tab/>
        <w:t>a.</w:t>
        <w:tab/>
      </w:r>
      <w:r>
        <w:rPr>
          <w:sz w:val="23"/>
          <w:u w:val="single"/>
        </w:rPr>
        <w:t>Annual Salary; Title</w:t>
      </w:r>
      <w:r>
        <w:rPr>
          <w:sz w:val="23"/>
        </w:rPr>
        <w:t xml:space="preserve">.  You will be paid a base salary at the rate of $__,_____.__ semi-monthly.  Your title with the Company will be ____________.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3"/>
        </w:rPr>
      </w:pPr>
      <w:r>
        <w:rPr>
          <w:sz w:val="23"/>
        </w:rPr>
      </w:r>
    </w:p>
    <w:p>
      <w:pPr>
        <w:pStyle w:val="Normal"/>
        <w:widowControl/>
        <w:jc w:val="both"/>
        <w:rPr/>
      </w:pPr>
      <w:r>
        <w:rPr>
          <w:sz w:val="23"/>
        </w:rPr>
        <w:tab/>
        <w:t>b.</w:t>
        <w:tab/>
      </w:r>
      <w:r>
        <w:rPr>
          <w:sz w:val="23"/>
          <w:u w:val="single"/>
        </w:rPr>
        <w:t>Annual Incentive Compensation</w:t>
      </w:r>
      <w:r>
        <w:rPr>
          <w:sz w:val="23"/>
        </w:rPr>
        <w:t>.  You will be eligible to receive an annual discretionary incentive compensation payment. This amount may be payable pursuant to a Bonus Pool established by the Company.  Any incentive compensation may be payable, in part, in an equity award awarded pursuant to the Company’s programs or plans; provided, however, that no less than 70% of the incentive compensation amount will be paid in cash.  Vesting of such equity awards shall be governed by the relevant plan or grant documents.  All compensation is payable in accordance with the payroll policies of the Company as in effect from time to time.  In order to receive any incentive compensation payment, you must be employed on the day the payment is made, which is typically during the first quarter of the following year.</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3"/>
        </w:rPr>
      </w:pPr>
      <w:r>
        <w:rPr>
          <w:sz w:val="23"/>
        </w:rPr>
      </w:r>
    </w:p>
    <w:p>
      <w:pPr>
        <w:pStyle w:val="Normal"/>
        <w:widowControl/>
        <w:jc w:val="both"/>
        <w:rPr/>
      </w:pPr>
      <w:r>
        <w:rPr>
          <w:sz w:val="23"/>
        </w:rPr>
        <w:tab/>
        <w:t>c.</w:t>
        <w:tab/>
      </w:r>
      <w:r>
        <w:rPr>
          <w:sz w:val="23"/>
          <w:u w:val="single"/>
        </w:rPr>
        <w:t>Initial Cash Retention Bonus</w:t>
      </w:r>
      <w:r>
        <w:rPr>
          <w:sz w:val="23"/>
        </w:rPr>
        <w:t>.  On or about the date that is the six-month anniversary of the consummation of the Transaction, provided you remain continuously employed by the Company through such date and you have not provided notice to the Company pursuant to Section 12 hereof (unless your employment with the Company is terminated by the Company prior to such date under the circumstances described in subsection (f) below, in which case you shall receive the amounts as set forth therein), you will receive a lump-sum cash payment in an amount equal to $________ (such amount, the “Bonus Amount”).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3"/>
        </w:rPr>
      </w:pPr>
      <w:r>
        <w:rPr>
          <w:sz w:val="23"/>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pPr>
      <w:r>
        <w:rPr>
          <w:sz w:val="23"/>
        </w:rPr>
        <w:tab/>
        <w:t>d.</w:t>
        <w:tab/>
      </w:r>
      <w:r>
        <w:rPr>
          <w:sz w:val="23"/>
          <w:u w:val="single"/>
        </w:rPr>
        <w:t>Subsequent Cash Retention Bonus</w:t>
      </w:r>
      <w:r>
        <w:rPr>
          <w:sz w:val="23"/>
        </w:rPr>
        <w:t>.  On or about the date that is the one-year anniversary of the consummation of the Transaction, provided you remain continuously employed by the Company through such date and you have not provided notice to the Company pursuant to Section 12 hereof (unless your employment with the Company is terminated by the Company prior to such date under the circumstances described in subsection (f) below, in which case you shall receive the amounts as set forth therein), you will receive a lump-sum cash payment equal to the Bonus Amount.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3"/>
        </w:rPr>
      </w:pPr>
      <w:r>
        <w:rPr>
          <w:sz w:val="23"/>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pPr>
      <w:r>
        <w:rPr>
          <w:sz w:val="23"/>
        </w:rPr>
        <w:tab/>
        <w:t>e.</w:t>
        <w:tab/>
      </w:r>
      <w:r>
        <w:rPr>
          <w:sz w:val="23"/>
          <w:u w:val="single"/>
        </w:rPr>
        <w:t>Benefits</w:t>
      </w:r>
      <w:r>
        <w:rPr>
          <w:sz w:val="23"/>
        </w:rPr>
        <w:t xml:space="preserve">.  You will be entitled to participate in the Company's comprehensive benefits program, which program shall be comparable to the benefits program available to similarly situated employees of the Company or _____________, including, without limitation, the reimbursement of business expenses reasonably incurred by you.  </w:t>
      </w:r>
    </w:p>
    <w:p>
      <w:pPr>
        <w:pStyle w:val="Normal"/>
        <w:widowControl/>
        <w:tabs>
          <w:tab w:val="left" w:pos="720" w:leader="none"/>
          <w:tab w:val="left" w:pos="117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3"/>
        </w:rPr>
      </w:pPr>
      <w:r>
        <w:rPr>
          <w:sz w:val="23"/>
        </w:rPr>
      </w:r>
    </w:p>
    <w:p>
      <w:pPr>
        <w:pStyle w:val="Normal"/>
        <w:widowControl/>
        <w:numPr>
          <w:ilvl w:val="0"/>
          <w:numId w:val="2"/>
        </w:numPr>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firstLine="720" w:start="0" w:end="0"/>
        <w:jc w:val="both"/>
        <w:rPr>
          <w:sz w:val="23"/>
        </w:rPr>
      </w:pPr>
      <w:r>
        <w:rPr>
          <w:sz w:val="23"/>
          <w:u w:val="single"/>
        </w:rPr>
        <w:t>Termination Without Cause Prior to Retention Dates</w:t>
      </w:r>
      <w:r>
        <w:rPr>
          <w:sz w:val="23"/>
        </w:rPr>
        <w:t>.  In the event that your employment with the Company is terminated by the Company without Cause (as defined below) prior to the date or dates described in subsections (c) or (d) above, you will be paid the Bonus Amount(s) described in such subsections that remain unpaid as of the date of such termination without Cause on the date or dates when such Bonus Amount(s) would have otherwise been payable to you pursuant to such subsections.  “</w:t>
      </w:r>
      <w:r>
        <w:rPr>
          <w:color w:val="000000"/>
          <w:sz w:val="23"/>
        </w:rPr>
        <w:t>Cause” will mean an action taken by a regulatory body or a self regulatory organization (“SRO”) which substantially impairs you from performing your duties, or your: gross misconduct in connection with your employment; breach of the Company’s material policies or rules; dishonesty; breach of your fiduciary duty of loyalty to the Company; violation of a federal or state law, rule or regulation, or violation of an SRO’s constitution, by-laws, rule or regulation, in each case that relates to the business of the Company; failure to remain licensed as required by your position; conviction by a trial court of a felony; or your material failure to perform or gross negligence in the performance of your duties.</w:t>
      </w:r>
    </w:p>
    <w:p>
      <w:pPr>
        <w:pStyle w:val="Normal"/>
        <w:widowContro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3"/>
          <w:u w:val="single"/>
        </w:rPr>
      </w:pPr>
      <w:r>
        <w:rPr>
          <w:sz w:val="23"/>
          <w:u w:val="single"/>
        </w:rPr>
      </w:r>
    </w:p>
    <w:p>
      <w:pPr>
        <w:pStyle w:val="Normal"/>
        <w:widowContro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pPr>
      <w:r>
        <w:rPr>
          <w:bCs/>
          <w:iCs/>
          <w:sz w:val="23"/>
        </w:rPr>
        <w:t>2.</w:t>
        <w:tab/>
      </w:r>
      <w:r>
        <w:rPr>
          <w:bCs/>
          <w:iCs/>
          <w:sz w:val="23"/>
          <w:u w:val="single"/>
        </w:rPr>
        <w:t>Restricted Stock Award</w:t>
      </w:r>
      <w:r>
        <w:rPr>
          <w:bCs/>
          <w:iCs/>
          <w:sz w:val="23"/>
        </w:rPr>
        <w:t xml:space="preserve">.  You will be awarded, as soon as practicable following the date your employment commences pursuant to this Agreement, an award of restricted stock in ___________________ or the Company, pursuant to the terms and conditions of the Company’s or _______________’s plans and programs, in an amount valued at two (2) times the Bonus Amount (such award, the “Restricted Stock Award”).  The restrictions on the Restricted Stock Award will lapse, and the Award will vest, according to the terms and conditions of the relevant grant documents, which will provide as follows:  (i) 50% of the Restricted Stock Award will vest on the 18-month anniversary of the date your employment commences pursuant to this Agreement, and (ii) the remaining 50% of the Restricted Stock Award will vest no later than the 24-month anniversary of the date your employment commences under this Agreement, provided in each case that you are employed by the Company on each such vesting date and that you have not provided notice to the Company pursuant to Section 12 of this Agreement.  The number of shares of restricted stock awarded to you will be determined based on the price of a share of common stock of _____________________ or the Company on or about the business day on which the award is made to you, as determined by the Company.  </w:t>
      </w:r>
    </w:p>
    <w:p>
      <w:pPr>
        <w:pStyle w:val="Normal"/>
        <w:widowContro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bCs/>
          <w:iCs/>
          <w:sz w:val="23"/>
        </w:rPr>
      </w:pPr>
      <w:r>
        <w:rPr>
          <w:bCs/>
          <w:iCs/>
          <w:sz w:val="23"/>
        </w:rPr>
      </w:r>
    </w:p>
    <w:p>
      <w:pPr>
        <w:pStyle w:val="Normal"/>
        <w:widowContro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pPr>
      <w:r>
        <w:rPr>
          <w:sz w:val="23"/>
        </w:rPr>
        <w:t>3.</w:t>
        <w:tab/>
      </w:r>
      <w:r>
        <w:rPr>
          <w:sz w:val="23"/>
          <w:u w:val="single"/>
        </w:rPr>
        <w:t>At-Will</w:t>
      </w:r>
      <w:r>
        <w:rPr>
          <w:sz w:val="23"/>
        </w:rPr>
        <w:t>.  Nothing herein constitutes an offer or contract of employment for any definite period of time.  The employment relationship is "at-will," which affords you and the Company the right to terminate the relationship at any time for no reason or any reason not otherwise prohibited by law.  Upon termination of your employment, all employee perquisites, entitlements and benefits will immediately cease, except as otherwise provided for in this Agreement, or as otherwise provided under the relevant plan documents.</w:t>
      </w:r>
    </w:p>
    <w:p>
      <w:pPr>
        <w:pStyle w:val="Normal"/>
        <w:widowContro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3"/>
        </w:rPr>
      </w:pPr>
      <w:r>
        <w:rPr>
          <w:sz w:val="23"/>
        </w:rPr>
      </w:r>
    </w:p>
    <w:p>
      <w:pPr>
        <w:pStyle w:val="Normal"/>
        <w:widowContro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pPr>
      <w:r>
        <w:rPr>
          <w:sz w:val="23"/>
        </w:rPr>
        <w:t xml:space="preserve">4. </w:t>
        <w:tab/>
      </w:r>
      <w:r>
        <w:rPr>
          <w:sz w:val="23"/>
          <w:u w:val="single"/>
        </w:rPr>
        <w:t>Resolution of Disputes</w:t>
      </w:r>
      <w:r>
        <w:rPr>
          <w:sz w:val="23"/>
        </w:rPr>
        <w:t>.  Any controversy or dispute relating to your employment with or separation from the Company will be resolved under the provisions of the Company’s or _____________________’s policies, procedures, or employee handbook, which may include the arbitration of employment and other disputes with the Company, as described in Attachment ___, and which are incorporated herein by reference.</w:t>
      </w:r>
    </w:p>
    <w:p>
      <w:pPr>
        <w:pStyle w:val="Normal"/>
        <w:widowContro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3"/>
        </w:rPr>
      </w:pPr>
      <w:r>
        <w:rPr>
          <w:sz w:val="23"/>
        </w:rPr>
      </w:r>
    </w:p>
    <w:p>
      <w:pPr>
        <w:pStyle w:val="Normal"/>
        <w:widowContro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pPr>
      <w:r>
        <w:rPr>
          <w:sz w:val="23"/>
        </w:rPr>
        <w:t>5.</w:t>
        <w:tab/>
      </w:r>
      <w:r>
        <w:rPr>
          <w:sz w:val="23"/>
          <w:u w:val="single"/>
        </w:rPr>
        <w:t>Effectiveness of This Agreement; Merger</w:t>
      </w:r>
      <w:r>
        <w:rPr>
          <w:sz w:val="23"/>
        </w:rPr>
        <w:t>.   This agreement describes the conditional terms and conditions of your employment with the Company or _______________.  This offer is conditioned on the consummation of the Transaction.  In the event that the Transaction is not consummated on or before February 1, 2002, for any reason, the terms of this document shall be considered null and void, and this Agreement shall have no force or effect.  Any other documents, discussions or agreements that you may have had with the Company are not part of this document unless they are described in this Agreement, or the attachments hereto, including the Company’s policies, handbooks, code of ethics, principles of employment, or other terms and conditions of employment, which are incorporated by reference and must be read carefully, as part of your employment with the Company under this Agreement. This Agreement may not be modified or amended except by a written agreement signed by both you and the Company.</w:t>
      </w:r>
    </w:p>
    <w:p>
      <w:pPr>
        <w:pStyle w:val="Normal"/>
        <w:widowContro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3"/>
        </w:rPr>
      </w:pPr>
      <w:r>
        <w:rPr>
          <w:sz w:val="23"/>
        </w:rPr>
      </w:r>
    </w:p>
    <w:p>
      <w:pPr>
        <w:pStyle w:val="Normal"/>
        <w:widowContro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pPr>
      <w:r>
        <w:rPr>
          <w:sz w:val="23"/>
        </w:rPr>
        <w:t>6.</w:t>
        <w:tab/>
      </w:r>
      <w:r>
        <w:rPr>
          <w:sz w:val="23"/>
          <w:u w:val="single"/>
        </w:rPr>
        <w:t>General Conditions Governing Your Employment</w:t>
      </w:r>
      <w:r>
        <w:rPr>
          <w:sz w:val="23"/>
        </w:rPr>
        <w:t>.  Throughout your employment, you will be subject to the Company’s policies, handbooks, procedures, employment principles, code of ethics, and other policies, as specifically described in Attachment ___, as well as other Company policies and procedures that may be in effect from time to time.</w:t>
      </w:r>
    </w:p>
    <w:p>
      <w:pPr>
        <w:pStyle w:val="Normal"/>
        <w:widowContro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3"/>
        </w:rPr>
      </w:pPr>
      <w:r>
        <w:rPr>
          <w:sz w:val="23"/>
        </w:rPr>
      </w:r>
    </w:p>
    <w:p>
      <w:pPr>
        <w:pStyle w:val="Normal"/>
        <w:keepNext w:val="true"/>
        <w:widowControl/>
        <w:tabs>
          <w:tab w:val="left" w:pos="720" w:leader="none"/>
        </w:tabs>
        <w:jc w:val="both"/>
        <w:rPr/>
      </w:pPr>
      <w:r>
        <w:rPr>
          <w:sz w:val="23"/>
        </w:rPr>
        <w:t>7.</w:t>
        <w:tab/>
      </w:r>
      <w:r>
        <w:rPr>
          <w:sz w:val="23"/>
          <w:u w:val="single"/>
        </w:rPr>
        <w:t>Severability</w:t>
      </w:r>
      <w:r>
        <w:rPr>
          <w:sz w:val="23"/>
        </w:rPr>
        <w:t>.  In the event that any provision of this Agreement shall be determined to be invalid or unenforceable, in whole or in part, the remaining provisions of this Agreement shall be unaffected thereby and shall remain in full force and effect to the fullest extent permitted by law.</w:t>
      </w:r>
    </w:p>
    <w:p>
      <w:pPr>
        <w:pStyle w:val="Normal"/>
        <w:keepNext w:val="true"/>
        <w:widowControl/>
        <w:tabs>
          <w:tab w:val="left" w:pos="720" w:leader="none"/>
        </w:tabs>
        <w:jc w:val="both"/>
        <w:rPr>
          <w:sz w:val="23"/>
        </w:rPr>
      </w:pPr>
      <w:r>
        <w:rPr>
          <w:sz w:val="23"/>
        </w:rPr>
      </w:r>
    </w:p>
    <w:p>
      <w:pPr>
        <w:pStyle w:val="BodyText2"/>
        <w:keepNext w:val="true"/>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720" w:leader="none"/>
        </w:tabs>
        <w:spacing w:lineRule="auto" w:line="240"/>
        <w:rPr>
          <w:color w:val="FF0000"/>
          <w:sz w:val="23"/>
        </w:rPr>
      </w:pPr>
      <w:r>
        <w:rPr>
          <w:sz w:val="23"/>
        </w:rPr>
        <w:t>8.</w:t>
        <w:tab/>
      </w:r>
      <w:r>
        <w:rPr>
          <w:sz w:val="23"/>
          <w:u w:val="single"/>
        </w:rPr>
        <w:t>Confidential Information; Non-Disclosure</w:t>
      </w:r>
      <w:r>
        <w:rPr>
          <w:sz w:val="23"/>
        </w:rPr>
        <w:t>.  Upon the commencement of your employment with the Company under this Agreement, the Company agrees to provide you with immediate access to Confidential Information relating to its business.  “Confidential Information” means and includes the Company’s confidential and/or proprietary information and/or trade secrets that have been and/or will be developed or used and that cannot be obtained readily by third parties from outside sources.  Confidential Information includes, but is not limited to, the following: information regarding customers, employees, contractors, and the industry not generally known to the public; strategies, methods, books, records, and documents; technical information concerning products, equipment, services, and processes; procurement procedures and pricing techniques; information concerning past, current, and prospective customers, investors, and business affiliates (such as contact name, service provided, pricing, type and amount of services used, financial data, and/or other such information); pricing strategies and price curves; positions; plans or strategies for expansion or acquisitions; budgets; research; weather data; emissions information; financial and sales data; trading methodologies and terms; communications information; evaluations, opinions, and interpretations of information and data; marketing and merchandising techniques; grids and maps; electronic databases; models; specifications; computer programs; contracts; bids or proposals; technologies and methods; training methods and processes; organizational structure; personnel information; payments or rates paid to consultants or other service providers; and other such confidential or proprietary information.  You acknowledge that the business of the Company is highly competitive, that this Confidential Information constitutes a valuable, special, and unique asset used by the Company, and that protection of such Confidential Information against unauthorized disclosure and use is of critical importance to the Company.  You also will have immediate access to, or knowledge of, Confidential Information of third parties, such as actual and potential customers, suppliers, partners, joint ventures, investors, financing sources, etc., of the Company.  The Company agrees to and shall provide you with access to Confidential Information and highly specialized training regarding the Company’s methodologies and business strategies, which will enable you to perform your job at the Company.  You agree that you will not, at any time during or after your employment with the Company, make any unauthorized disclosure of any Confidential Information of the Company, or third parties, or make any use thereof, except in working for the Company.</w:t>
      </w:r>
    </w:p>
    <w:p>
      <w:pPr>
        <w:pStyle w:val="Normal"/>
        <w:widowControl/>
        <w:tabs>
          <w:tab w:val="left" w:pos="720" w:leader="none"/>
        </w:tabs>
        <w:jc w:val="both"/>
        <w:rPr>
          <w:color w:val="FF0000"/>
          <w:sz w:val="23"/>
        </w:rPr>
      </w:pPr>
      <w:r>
        <w:rPr>
          <w:color w:val="FF0000"/>
          <w:sz w:val="23"/>
        </w:rPr>
      </w:r>
    </w:p>
    <w:p>
      <w:pPr>
        <w:pStyle w:val="Normal"/>
        <w:widowControl/>
        <w:tabs>
          <w:tab w:val="left" w:pos="720" w:leader="none"/>
        </w:tabs>
        <w:jc w:val="both"/>
        <w:rPr/>
      </w:pPr>
      <w:r>
        <w:rPr>
          <w:sz w:val="23"/>
        </w:rPr>
        <w:t>9.</w:t>
        <w:tab/>
      </w:r>
      <w:r>
        <w:rPr>
          <w:sz w:val="23"/>
          <w:u w:val="single"/>
        </w:rPr>
        <w:t>Non-Competition Obligations</w:t>
      </w:r>
      <w:r>
        <w:rPr>
          <w:sz w:val="23"/>
        </w:rPr>
        <w:t>.  Immediately upon your signing of this Agreement, or immediately following the commencement of your employment with the Company, the Company shall provide you with Confidential Information.  Ancillary to the Company’s agreement to provide Confidential Information to you, you agree not to disclose Confidential Information, and in order to protect the Confidential Information, you and the Company agree to the following non-competition provisions.  You agree that for a period of 12 months following the commencement of your employment with the Company under this Agreement, you will not, directly or indirectly, for yourself or for others, anywhere in North America:</w:t>
      </w:r>
    </w:p>
    <w:p>
      <w:pPr>
        <w:pStyle w:val="Normal"/>
        <w:widowControl/>
        <w:jc w:val="both"/>
        <w:rPr>
          <w:sz w:val="23"/>
        </w:rPr>
      </w:pPr>
      <w:r>
        <w:rPr>
          <w:sz w:val="23"/>
        </w:rPr>
      </w:r>
    </w:p>
    <w:p>
      <w:pPr>
        <w:pStyle w:val="Normal"/>
        <w:widowControl/>
        <w:jc w:val="both"/>
        <w:rPr>
          <w:sz w:val="23"/>
        </w:rPr>
      </w:pPr>
      <w:r>
        <w:rPr>
          <w:sz w:val="23"/>
        </w:rPr>
        <w:tab/>
        <w:t>a.</w:t>
        <w:tab/>
        <w:t>engage in the business of buying, selling, trading, structuring, or executing transactions in commodities, assets, or products in which the Company is doing business, has plans to engage in business, or has engaged in business in the preceding 12-month period, including, but not limited to, gas, electricity, transmission capacity, electronic commerce (including business-to-business electronic commerce), “click trading” or other commodities (including, without limitation, other energy commodities), or any futures, derivatives, or equities related to any of the foregoing, whether at wholesale or retail, or the development of systems, information technology, accounting, or risk management with respect to any of the foregoing;</w:t>
      </w:r>
    </w:p>
    <w:p>
      <w:pPr>
        <w:pStyle w:val="Normal"/>
        <w:widowControl/>
        <w:jc w:val="both"/>
        <w:rPr>
          <w:sz w:val="23"/>
        </w:rPr>
      </w:pPr>
      <w:r>
        <w:rPr>
          <w:sz w:val="23"/>
        </w:rPr>
      </w:r>
    </w:p>
    <w:p>
      <w:pPr>
        <w:pStyle w:val="Normal"/>
        <w:widowControl/>
        <w:jc w:val="both"/>
        <w:rPr>
          <w:sz w:val="23"/>
        </w:rPr>
      </w:pPr>
      <w:r>
        <w:rPr>
          <w:sz w:val="23"/>
        </w:rPr>
        <w:tab/>
        <w:t>b.</w:t>
        <w:tab/>
        <w:t>engage in other types of business performed by the Company, including the acquiring or disposing of assets or equity investments or providing or raising capital, through loans, equity, joint ventures, partnerships, working interests, production payments, credit or similar arrangements into products, commodities, futures, derivatives, or other items in which the Company is then engaging in business, has plans to engage in business, or has engaged in business in the preceding 12-month period;</w:t>
      </w:r>
    </w:p>
    <w:p>
      <w:pPr>
        <w:pStyle w:val="Normal"/>
        <w:widowControl/>
        <w:jc w:val="both"/>
        <w:rPr>
          <w:sz w:val="23"/>
        </w:rPr>
      </w:pPr>
      <w:r>
        <w:rPr>
          <w:sz w:val="23"/>
        </w:rPr>
      </w:r>
    </w:p>
    <w:p>
      <w:pPr>
        <w:pStyle w:val="BodyTextIndent"/>
        <w:widowControl/>
        <w:ind w:hanging="0" w:end="0"/>
        <w:rPr>
          <w:rFonts w:ascii="Times New Roman" w:hAnsi="Times New Roman" w:cs="Times New Roman"/>
          <w:sz w:val="23"/>
        </w:rPr>
      </w:pPr>
      <w:r>
        <w:rPr>
          <w:rFonts w:cs="Times New Roman" w:ascii="Times New Roman" w:hAnsi="Times New Roman"/>
          <w:sz w:val="23"/>
        </w:rPr>
        <w:tab/>
        <w:t>c.</w:t>
        <w:tab/>
        <w:t>engage in activities relating to the Company not described in parts a and b of this Section 9, to the extent that you have personal knowledge or information about such activities; or</w:t>
      </w:r>
    </w:p>
    <w:p>
      <w:pPr>
        <w:pStyle w:val="Normal"/>
        <w:widowControl/>
        <w:jc w:val="both"/>
        <w:rPr>
          <w:rFonts w:ascii="Times New Roman" w:hAnsi="Times New Roman" w:cs="Times New Roman"/>
          <w:sz w:val="23"/>
        </w:rPr>
      </w:pPr>
      <w:r>
        <w:rPr>
          <w:rFonts w:cs="Times New Roman"/>
          <w:sz w:val="23"/>
        </w:rPr>
      </w:r>
    </w:p>
    <w:p>
      <w:pPr>
        <w:pStyle w:val="BodyTextIndent"/>
        <w:widowControl/>
        <w:rPr>
          <w:rFonts w:ascii="Times New Roman" w:hAnsi="Times New Roman" w:cs="Times New Roman"/>
          <w:sz w:val="23"/>
        </w:rPr>
      </w:pPr>
      <w:r>
        <w:rPr>
          <w:rFonts w:cs="Times New Roman" w:ascii="Times New Roman" w:hAnsi="Times New Roman"/>
          <w:sz w:val="23"/>
        </w:rPr>
        <w:t>d.</w:t>
        <w:tab/>
        <w:t>render advice or services to, or otherwise assist, any other person, association or entity in the business of parts a, b, or c of this Section 9.</w:t>
      </w:r>
    </w:p>
    <w:p>
      <w:pPr>
        <w:pStyle w:val="Normal"/>
        <w:widowControl/>
        <w:ind w:firstLine="720" w:start="720" w:end="0"/>
        <w:jc w:val="both"/>
        <w:rPr>
          <w:rFonts w:ascii="Times New Roman" w:hAnsi="Times New Roman" w:cs="Times New Roman"/>
          <w:sz w:val="23"/>
        </w:rPr>
      </w:pPr>
      <w:r>
        <w:rPr>
          <w:rFonts w:cs="Times New Roman"/>
          <w:sz w:val="23"/>
        </w:rPr>
      </w:r>
    </w:p>
    <w:p>
      <w:pPr>
        <w:pStyle w:val="Normal"/>
        <w:widowControl/>
        <w:tabs>
          <w:tab w:val="clear" w:pos="720"/>
          <w:tab w:val="left" w:pos="-720" w:leader="none"/>
        </w:tabs>
        <w:suppressAutoHyphens w:val="true"/>
        <w:jc w:val="both"/>
        <w:rPr>
          <w:sz w:val="23"/>
        </w:rPr>
      </w:pPr>
      <w:r>
        <w:rPr>
          <w:sz w:val="23"/>
        </w:rPr>
        <w:tab/>
        <w:t>If you work for a competitor of the Company within 12 months of the date of your commencement of employment with the Company under this Agreement, you acknowledge and agree that such work would inevitably lead to your unauthorized use of the Company’s Confidential Information, even if such use were unintentional.  Because it would be impossible, as a practical matter, to monitor, restrain, or police your use of such Confidential Information other than by your not working for a competitor, you agree that restricting such employment as set forth in this Agreement is the narrowest way to protect the Company’s interests, and the narrowest way of enforcing your consideration for the receipt of your specialized training and Confidential Information (namely, your promise not to use or disclose that Confidential Information/specialized training).</w:t>
      </w:r>
    </w:p>
    <w:p>
      <w:pPr>
        <w:pStyle w:val="BodyTextIndent"/>
        <w:widowControl/>
        <w:ind w:hanging="0" w:end="0"/>
        <w:rPr>
          <w:rFonts w:ascii="Times New Roman" w:hAnsi="Times New Roman" w:cs="Times New Roman"/>
          <w:sz w:val="23"/>
        </w:rPr>
      </w:pPr>
      <w:r>
        <w:rPr>
          <w:rFonts w:cs="Times New Roman" w:ascii="Times New Roman" w:hAnsi="Times New Roman"/>
          <w:sz w:val="23"/>
        </w:rPr>
      </w:r>
    </w:p>
    <w:p>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630" w:leader="none"/>
          <w:tab w:val="left" w:pos="720" w:leader="none"/>
        </w:tabs>
        <w:spacing w:lineRule="auto" w:line="240"/>
        <w:jc w:val="start"/>
        <w:rPr/>
      </w:pPr>
      <w:r>
        <w:rPr>
          <w:sz w:val="23"/>
        </w:rPr>
        <w:t>10.</w:t>
        <w:tab/>
      </w:r>
      <w:r>
        <w:rPr>
          <w:sz w:val="23"/>
          <w:u w:val="single"/>
        </w:rPr>
        <w:t>Non-Solicitation of Customers</w:t>
      </w:r>
      <w:r>
        <w:rPr>
          <w:sz w:val="23"/>
        </w:rPr>
        <w:t>.  For a period of 12  months following the commencement of  your employment with the Company under this Agreement, you will not call on, service, or solicit customers of the Company, its subsidiaries or affiliates (except in furtherance of the Company’s business) if you (i) had or made contact with the customer, or (ii) had access to information and files about the customer.</w:t>
      </w:r>
    </w:p>
    <w:p>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630" w:leader="none"/>
          <w:tab w:val="left" w:pos="720" w:leader="none"/>
        </w:tabs>
        <w:spacing w:lineRule="auto" w:line="240"/>
        <w:jc w:val="start"/>
        <w:rPr>
          <w:sz w:val="23"/>
        </w:rPr>
      </w:pPr>
      <w:r>
        <w:rPr>
          <w:sz w:val="23"/>
        </w:rPr>
      </w:r>
    </w:p>
    <w:p>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720" w:leader="none"/>
        </w:tabs>
        <w:spacing w:lineRule="auto" w:line="240"/>
        <w:ind w:start="360" w:end="0"/>
        <w:rPr>
          <w:sz w:val="23"/>
          <w:del w:id="1" w:author="jclyatt" w:date="2001-12-28T09:25:00Z"/>
        </w:rPr>
      </w:pPr>
      <w:del w:id="0" w:author="jclyatt" w:date="2001-12-28T09:25:00Z">
        <w:r>
          <w:rPr>
            <w:sz w:val="23"/>
          </w:rPr>
        </w:r>
      </w:del>
    </w:p>
    <w:p>
      <w:pPr>
        <w:pStyle w:val="Normal"/>
        <w:widowControl/>
        <w:tabs>
          <w:tab w:val="left" w:pos="720" w:leader="none"/>
        </w:tabs>
        <w:jc w:val="both"/>
        <w:rPr>
          <w:sz w:val="23"/>
          <w:del w:id="3" w:author="jclyatt" w:date="2001-12-28T09:25:00Z"/>
        </w:rPr>
      </w:pPr>
      <w:del w:id="2" w:author="jclyatt" w:date="2001-12-28T09:25:00Z">
        <w:r>
          <w:rPr>
            <w:sz w:val="23"/>
          </w:rPr>
        </w:r>
      </w:del>
    </w:p>
    <w:p>
      <w:pPr>
        <w:pStyle w:val="BodyText2"/>
        <w:widowControl/>
        <w:tabs>
          <w:tab w:val="left" w:pos="720" w:leader="none"/>
        </w:tabs>
        <w:jc w:val="both"/>
        <w:rPr/>
      </w:pPr>
      <w:r>
        <w:rPr>
          <w:sz w:val="23"/>
          <w:rPrChange w:id="0" w:author="jclyatt" w:date="2001-12-28T09:25:00Z"/>
        </w:rPr>
        <w:t xml:space="preserve">11.  </w:t>
        <w:tab/>
      </w:r>
      <w:r>
        <w:rPr>
          <w:sz w:val="23"/>
          <w:u w:val="single"/>
        </w:rPr>
        <w:t>Non-Solicitation of Employees</w:t>
      </w:r>
      <w:r>
        <w:rPr>
          <w:sz w:val="23"/>
        </w:rPr>
        <w:t>.  During your employment, and for a period of twelve months following your voluntary or involuntary termination of employment, you will not, directly or indirectly, call on, solicit, or induce any employee of the Company, its subsidiaries or affiliates whom you had contact with, knowledge of, or association with in the course of your employment with the Company to terminate employment from the Company, its subsidiaries or affiliates, and will not assist any other person or entity in such activities</w:t>
      </w:r>
    </w:p>
    <w:p>
      <w:pPr>
        <w:pStyle w:val="Normal"/>
        <w:widowControl/>
        <w:tabs>
          <w:tab w:val="left" w:pos="720" w:leader="none"/>
        </w:tabs>
        <w:jc w:val="both"/>
        <w:rPr>
          <w:sz w:val="23"/>
          <w:del w:id="6" w:author="jclyatt" w:date="2001-12-28T09:24:00Z"/>
        </w:rPr>
      </w:pPr>
      <w:del w:id="5" w:author="jclyatt" w:date="2001-12-28T09:24:00Z">
        <w:r>
          <w:rPr>
            <w:sz w:val="23"/>
          </w:rPr>
          <w:delText>.</w:delText>
        </w:r>
      </w:del>
    </w:p>
    <w:p>
      <w:pPr>
        <w:pStyle w:val="Normal"/>
        <w:widowControl/>
        <w:tabs>
          <w:tab w:val="left" w:pos="720" w:leader="none"/>
        </w:tabs>
        <w:jc w:val="both"/>
        <w:rPr>
          <w:sz w:val="23"/>
        </w:rPr>
      </w:pPr>
      <w:r>
        <w:rPr>
          <w:sz w:val="23"/>
        </w:rPr>
      </w:r>
    </w:p>
    <w:p>
      <w:pPr>
        <w:pStyle w:val="Normal"/>
        <w:keepNext w:val="true"/>
        <w:widowControl/>
        <w:tabs>
          <w:tab w:val="left" w:pos="720" w:leader="none"/>
        </w:tabs>
        <w:suppressAutoHyphens w:val="true"/>
        <w:jc w:val="both"/>
        <w:rPr/>
      </w:pPr>
      <w:r>
        <w:rPr>
          <w:sz w:val="23"/>
          <w:szCs w:val="23"/>
        </w:rPr>
        <w:t>12.</w:t>
        <w:tab/>
      </w:r>
      <w:r>
        <w:rPr>
          <w:sz w:val="23"/>
          <w:szCs w:val="23"/>
          <w:u w:val="single"/>
        </w:rPr>
        <w:t>Garden Leave</w:t>
      </w:r>
      <w:r>
        <w:rPr>
          <w:sz w:val="23"/>
          <w:szCs w:val="23"/>
        </w:rPr>
        <w:t>.  You agree not to resign, retire or otherwise terminate your employment with the Company without first giving the Company 30 days’ prior written notice of the effective date of your last day of employment.  The Company may, in its discretion, with respect to the remaining period of the notice: remove any duties assigned to you; assign you to other duties; require you to remain away from the Company’s place of business; or, waive the remaining notice period and consider your resignation effective immediately, or some date prior to the expiration of the notice period.  Notwithstanding the foregoing, for the period of time remaining after you have given notice, you will continue to be paid your current salary, provided you continue to act in a manner consistent with your obligations as an employee of the Company.</w:t>
      </w:r>
    </w:p>
    <w:p>
      <w:pPr>
        <w:pStyle w:val="Normal"/>
        <w:widowControl/>
        <w:tabs>
          <w:tab w:val="left" w:pos="720" w:leader="none"/>
        </w:tabs>
        <w:jc w:val="both"/>
        <w:rPr>
          <w:sz w:val="23"/>
          <w:szCs w:val="23"/>
        </w:rPr>
      </w:pPr>
      <w:r>
        <w:rPr>
          <w:sz w:val="23"/>
          <w:szCs w:val="23"/>
        </w:rPr>
      </w:r>
    </w:p>
    <w:p>
      <w:pPr>
        <w:pStyle w:val="Normal"/>
        <w:keepNext w:val="true"/>
        <w:widowControl/>
        <w:tabs>
          <w:tab w:val="left" w:pos="720" w:leader="none"/>
        </w:tabs>
        <w:suppressAutoHyphens w:val="true"/>
        <w:jc w:val="both"/>
        <w:rPr/>
      </w:pPr>
      <w:r>
        <w:rPr>
          <w:sz w:val="23"/>
          <w:szCs w:val="23"/>
        </w:rPr>
        <w:t>13.</w:t>
        <w:tab/>
      </w:r>
      <w:r>
        <w:rPr>
          <w:sz w:val="23"/>
          <w:szCs w:val="23"/>
          <w:u w:val="single"/>
        </w:rPr>
        <w:t>Pre-Employment Requirements</w:t>
      </w:r>
      <w:r>
        <w:rPr>
          <w:sz w:val="23"/>
          <w:szCs w:val="23"/>
        </w:rPr>
        <w:t xml:space="preserve">.  In addition to the consummation of the transaction described above, this offer is conditional upon the following:  </w:t>
      </w:r>
    </w:p>
    <w:p>
      <w:pPr>
        <w:pStyle w:val="Normal"/>
        <w:keepNext w:val="true"/>
        <w:widowControl/>
        <w:tabs>
          <w:tab w:val="left" w:pos="720" w:leader="none"/>
        </w:tabs>
        <w:suppressAutoHyphens w:val="true"/>
        <w:jc w:val="both"/>
        <w:rPr>
          <w:sz w:val="23"/>
          <w:szCs w:val="23"/>
        </w:rPr>
      </w:pPr>
      <w:r>
        <w:rPr>
          <w:sz w:val="23"/>
          <w:szCs w:val="23"/>
        </w:rPr>
      </w:r>
    </w:p>
    <w:p>
      <w:pPr>
        <w:pStyle w:val="Normal"/>
        <w:keepNext w:val="true"/>
        <w:widowControl/>
        <w:numPr>
          <w:ilvl w:val="0"/>
          <w:numId w:val="3"/>
        </w:numPr>
        <w:tabs>
          <w:tab w:val="left" w:pos="720" w:leader="none"/>
        </w:tabs>
        <w:suppressAutoHyphens w:val="true"/>
        <w:ind w:hanging="360" w:start="1080" w:end="0"/>
        <w:jc w:val="both"/>
        <w:rPr>
          <w:sz w:val="23"/>
        </w:rPr>
      </w:pPr>
      <w:r>
        <w:rPr>
          <w:sz w:val="23"/>
        </w:rPr>
        <w:t>Your completion of a pre-employment drug screening (urinalysis), the results of which will be handled in a strictly confidential manner.</w:t>
      </w:r>
    </w:p>
    <w:p>
      <w:pPr>
        <w:pStyle w:val="Normal"/>
        <w:widowControl/>
        <w:tabs>
          <w:tab w:val="left" w:pos="720" w:leader="none"/>
        </w:tabs>
        <w:jc w:val="both"/>
        <w:rPr>
          <w:sz w:val="23"/>
        </w:rPr>
      </w:pPr>
      <w:r>
        <w:rPr>
          <w:sz w:val="23"/>
        </w:rPr>
      </w:r>
    </w:p>
    <w:p>
      <w:pPr>
        <w:pStyle w:val="BodyTextIndent"/>
        <w:widowControl/>
        <w:ind w:hanging="0" w:end="0"/>
        <w:rPr>
          <w:rFonts w:ascii="Times New Roman" w:hAnsi="Times New Roman" w:cs="Times New Roman"/>
          <w:color w:val="FF0000"/>
          <w:sz w:val="23"/>
          <w:del w:id="8" w:author="jclyatt" w:date="2001-12-28T09:24:00Z"/>
        </w:rPr>
      </w:pPr>
      <w:del w:id="7" w:author="jclyatt" w:date="2001-12-28T09:24:00Z">
        <w:r>
          <w:rPr>
            <w:rFonts w:cs="Times New Roman" w:ascii="Times New Roman" w:hAnsi="Times New Roman"/>
            <w:color w:val="FF0000"/>
            <w:sz w:val="23"/>
          </w:rPr>
        </w:r>
      </w:del>
    </w:p>
    <w:p>
      <w:pPr>
        <w:pStyle w:val="BodyTextIndent"/>
        <w:keepNext w:val="true"/>
        <w:widowControl/>
        <w:tabs>
          <w:tab w:val="left" w:pos="720" w:leader="none"/>
        </w:tabs>
        <w:suppressAutoHyphens w:val="true"/>
        <w:jc w:val="both"/>
        <w:rPr>
          <w:rFonts w:ascii="Times New Roman" w:hAnsi="Times New Roman" w:cs="Times New Roman"/>
          <w:color w:val="FF0000"/>
          <w:sz w:val="23"/>
          <w:szCs w:val="23"/>
        </w:rPr>
      </w:pPr>
      <w:r>
        <w:rPr>
          <w:rFonts w:cs="Times New Roman"/>
          <w:color w:val="FF0000"/>
          <w:sz w:val="23"/>
          <w:szCs w:val="23"/>
        </w:rPr>
      </w:r>
    </w:p>
    <w:p>
      <w:pPr>
        <w:pStyle w:val="Normal"/>
        <w:keepNext w:val="true"/>
        <w:widowControl/>
        <w:numPr>
          <w:ilvl w:val="0"/>
          <w:numId w:val="3"/>
        </w:numPr>
        <w:tabs>
          <w:tab w:val="left" w:pos="720" w:leader="none"/>
        </w:tabs>
        <w:suppressAutoHyphens w:val="true"/>
        <w:ind w:hanging="360" w:start="1080" w:end="0"/>
        <w:jc w:val="both"/>
        <w:rPr>
          <w:sz w:val="23"/>
        </w:rPr>
      </w:pPr>
      <w:r>
        <w:rPr>
          <w:sz w:val="23"/>
        </w:rPr>
        <w:t xml:space="preserve">Proof of your citizenship or the appropriate right to work documentation and completed "I-9 form," provided by you no later than three days after your employment commences.  (This is a requirement of the Immigration and Reform and Control Act of 1986.)  </w:t>
      </w:r>
    </w:p>
    <w:p>
      <w:pPr>
        <w:pStyle w:val="Normal"/>
        <w:keepNext w:val="true"/>
        <w:widowControl/>
        <w:numPr>
          <w:ilvl w:val="0"/>
          <w:numId w:val="3"/>
        </w:numPr>
        <w:tabs>
          <w:tab w:val="left" w:pos="720" w:leader="none"/>
        </w:tabs>
        <w:suppressAutoHyphens w:val="true"/>
        <w:ind w:hanging="360" w:start="1080" w:end="0"/>
        <w:jc w:val="both"/>
        <w:rPr>
          <w:sz w:val="23"/>
        </w:rPr>
      </w:pPr>
      <w:r>
        <w:rPr>
          <w:sz w:val="23"/>
        </w:rPr>
        <w:t xml:space="preserve">Confirmation by the Central Registration Depository of your license and/or registration (if applicable), and confirmation of the absence of any violation, fine, suspension, or any other regulatory action having been taken against you.  </w:t>
      </w:r>
    </w:p>
    <w:p>
      <w:pPr>
        <w:pStyle w:val="Normal"/>
        <w:keepNext w:val="true"/>
        <w:widowControl/>
        <w:numPr>
          <w:ilvl w:val="0"/>
          <w:numId w:val="3"/>
        </w:numPr>
        <w:tabs>
          <w:tab w:val="left" w:pos="720" w:leader="none"/>
        </w:tabs>
        <w:suppressAutoHyphens w:val="true"/>
        <w:ind w:hanging="360" w:start="1080" w:end="0"/>
        <w:jc w:val="both"/>
        <w:rPr>
          <w:sz w:val="23"/>
        </w:rPr>
      </w:pPr>
      <w:r>
        <w:rPr>
          <w:sz w:val="23"/>
        </w:rPr>
        <w:t>Successful completion of a background check that may include credit and criminal investigative reports.</w:t>
      </w:r>
    </w:p>
    <w:p>
      <w:pPr>
        <w:pStyle w:val="Normal"/>
        <w:keepNext w:val="true"/>
        <w:widowControl/>
        <w:numPr>
          <w:ilvl w:val="0"/>
          <w:numId w:val="3"/>
        </w:numPr>
        <w:tabs>
          <w:tab w:val="left" w:pos="720" w:leader="none"/>
        </w:tabs>
        <w:suppressAutoHyphens w:val="true"/>
        <w:ind w:hanging="360" w:start="1080" w:end="0"/>
        <w:jc w:val="both"/>
        <w:rPr>
          <w:sz w:val="23"/>
        </w:rPr>
      </w:pPr>
      <w:r>
        <w:rPr>
          <w:sz w:val="23"/>
        </w:rPr>
        <w:t>For non-US foreign nationals, employment is also subject to securing the appropriate work permit or visas, and the Company will take reasonable measures to accommodate and/or facilitate such process.</w:t>
      </w:r>
    </w:p>
    <w:p>
      <w:pPr>
        <w:pStyle w:val="Normal"/>
        <w:widowControl/>
        <w:suppressAutoHyphens w:val="true"/>
        <w:jc w:val="both"/>
        <w:rPr>
          <w:sz w:val="23"/>
        </w:rPr>
      </w:pPr>
      <w:r>
        <w:rPr>
          <w:sz w:val="23"/>
        </w:rPr>
      </w:r>
    </w:p>
    <w:p>
      <w:pPr>
        <w:pStyle w:val="Normal"/>
        <w:widowControl/>
        <w:tabs>
          <w:tab w:val="left" w:pos="720" w:leader="none"/>
        </w:tabs>
        <w:jc w:val="both"/>
        <w:rPr/>
      </w:pPr>
      <w:r>
        <w:rPr>
          <w:sz w:val="23"/>
        </w:rPr>
        <w:t>14.</w:t>
        <w:tab/>
      </w:r>
      <w:r>
        <w:rPr>
          <w:sz w:val="23"/>
          <w:u w:val="single"/>
        </w:rPr>
        <w:t>Confidentiality of this Agreement</w:t>
      </w:r>
      <w:r>
        <w:rPr>
          <w:sz w:val="23"/>
        </w:rPr>
        <w:t>.  You agree to keep secret and strictly confidential, in whole or in part, the terms of this Agreement, and further agree not to disclose them to any person or entity except as required by law or legal process and except for disclosure to your attorneys, accountants, and immediate family.</w:t>
      </w:r>
    </w:p>
    <w:p>
      <w:pPr>
        <w:pStyle w:val="BodyText3"/>
        <w:widowControl/>
        <w:rPr>
          <w:sz w:val="23"/>
        </w:rPr>
      </w:pPr>
      <w:r>
        <w:rPr>
          <w:sz w:val="23"/>
        </w:rPr>
      </w:r>
    </w:p>
    <w:p>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720" w:leader="none"/>
        </w:tabs>
        <w:spacing w:lineRule="auto" w:line="240"/>
        <w:rPr/>
      </w:pPr>
      <w:r>
        <w:rPr>
          <w:sz w:val="23"/>
        </w:rPr>
        <w:t>15.</w:t>
        <w:tab/>
      </w:r>
      <w:r>
        <w:rPr>
          <w:sz w:val="23"/>
          <w:u w:val="single"/>
        </w:rPr>
        <w:t>Governing Law; Captions</w:t>
      </w:r>
      <w:r>
        <w:rPr>
          <w:sz w:val="23"/>
        </w:rPr>
        <w:t xml:space="preserve">.  This Agreement shall be governed by and construed in accordance with the laws of the State of Texas, without reference to principles of conflict of laws.  The captions of this Agreement are not part of the provisions hereof and shall have no force or effect.  </w:t>
      </w:r>
    </w:p>
    <w:p>
      <w:pPr>
        <w:pStyle w:val="Normal"/>
        <w:widowControl/>
        <w:jc w:val="both"/>
        <w:rPr>
          <w:sz w:val="23"/>
        </w:rPr>
      </w:pPr>
      <w:r>
        <w:rPr>
          <w:sz w:val="23"/>
        </w:rPr>
      </w:r>
    </w:p>
    <w:p>
      <w:pPr>
        <w:pStyle w:val="Normal"/>
        <w:widowControl/>
        <w:tabs>
          <w:tab w:val="left" w:pos="720" w:leader="none"/>
        </w:tabs>
        <w:spacing w:before="0" w:after="120"/>
        <w:jc w:val="both"/>
        <w:rPr/>
      </w:pPr>
      <w:r>
        <w:rPr>
          <w:sz w:val="23"/>
        </w:rPr>
        <w:t>16.</w:t>
        <w:tab/>
      </w:r>
      <w:r>
        <w:rPr>
          <w:sz w:val="23"/>
          <w:u w:val="single"/>
        </w:rPr>
        <w:t>Termination of any other Employment Agreement with Enron</w:t>
      </w:r>
      <w:r>
        <w:rPr>
          <w:sz w:val="23"/>
        </w:rPr>
        <w:t>.  As a condition to your commencing employment pursuant to this Agreement, you hereby agree to terminate and cancel any employment, retention or other agreement that you may have with Enron or its subsidiaries or affiliates effective as of the date of you commence employment pursuant to the terms of this Agreement.  You hereby waive any and all claims, causes of action, or suits you might have under any such Enron agreement against any party including, but not limited to, Enron Corp. and any of its subsidiaries and affiliates, and the Company and any of its subsidiaries or affiliates. You and ________________ and the Company agree that this is the sole agreement between you and the Company relative to confidentiality, non-competition and non-solicitation and that it shall supersede and replace all and any prior employment agreements with Enron or any other entity.  You understand and acknowledge, however, that your obligations under the Enron Corp. Code of Ethics, including obligations of confidentiality of Enron information, are continuing in nature and are not superseded by this Agreement.</w:t>
      </w:r>
    </w:p>
    <w:p>
      <w:pPr>
        <w:pStyle w:val="Normal"/>
        <w:widowControl/>
        <w:jc w:val="both"/>
        <w:rPr>
          <w:sz w:val="23"/>
        </w:rPr>
      </w:pPr>
      <w:r>
        <w:rPr>
          <w:sz w:val="23"/>
        </w:rPr>
      </w:r>
    </w:p>
    <w:p>
      <w:pPr>
        <w:pStyle w:val="BodyTextIndent"/>
        <w:widowControl/>
        <w:ind w:hanging="0" w:end="0"/>
        <w:rPr>
          <w:rFonts w:ascii="Times New Roman" w:hAnsi="Times New Roman" w:cs="Times New Roman"/>
          <w:caps/>
          <w:sz w:val="23"/>
        </w:rPr>
      </w:pPr>
      <w:r>
        <w:rPr>
          <w:rFonts w:cs="Times New Roman" w:ascii="Times New Roman" w:hAnsi="Times New Roman"/>
          <w:caps/>
          <w:sz w:val="23"/>
        </w:rPr>
        <w:t>Accepted and Agreed:</w:t>
      </w:r>
    </w:p>
    <w:p>
      <w:pPr>
        <w:pStyle w:val="Normal"/>
        <w:widowControl/>
        <w:jc w:val="both"/>
        <w:rPr>
          <w:rFonts w:ascii="Times New Roman" w:hAnsi="Times New Roman" w:cs="Times New Roman"/>
          <w:caps/>
          <w:sz w:val="23"/>
        </w:rPr>
      </w:pPr>
      <w:r>
        <w:rPr>
          <w:rFonts w:cs="Times New Roman"/>
          <w:caps/>
          <w:sz w:val="23"/>
        </w:rPr>
      </w:r>
    </w:p>
    <w:p>
      <w:pPr>
        <w:pStyle w:val="Heading4"/>
        <w:ind w:hanging="0" w:start="0"/>
        <w:rPr>
          <w:sz w:val="23"/>
        </w:rPr>
      </w:pPr>
      <w:r>
        <w:rPr>
          <w:sz w:val="23"/>
        </w:rPr>
      </w:r>
    </w:p>
    <w:p>
      <w:pPr>
        <w:pStyle w:val="Heading4"/>
        <w:ind w:hanging="0" w:start="0"/>
        <w:rPr/>
      </w:pPr>
      <w:r>
        <w:rPr/>
        <w:t>Company</w:t>
      </w:r>
    </w:p>
    <w:p>
      <w:pPr>
        <w:pStyle w:val="Normal"/>
        <w:widowControl/>
        <w:jc w:val="both"/>
        <w:rPr>
          <w:sz w:val="23"/>
        </w:rPr>
      </w:pPr>
      <w:r>
        <w:rPr>
          <w:sz w:val="23"/>
        </w:rPr>
      </w:r>
    </w:p>
    <w:p>
      <w:pPr>
        <w:pStyle w:val="Normal"/>
        <w:widowControl/>
        <w:jc w:val="both"/>
        <w:rPr/>
      </w:pPr>
      <w:r>
        <w:rPr>
          <w:sz w:val="23"/>
        </w:rPr>
        <w:t xml:space="preserve">By:  </w:t>
      </w:r>
      <w:r>
        <w:rPr>
          <w:sz w:val="23"/>
          <w:u w:val="single"/>
        </w:rPr>
        <w:tab/>
        <w:tab/>
        <w:tab/>
        <w:tab/>
        <w:tab/>
        <w:tab/>
        <w:tab/>
        <w:tab/>
      </w:r>
    </w:p>
    <w:p>
      <w:pPr>
        <w:pStyle w:val="Normal"/>
        <w:widowControl/>
        <w:jc w:val="both"/>
        <w:rPr/>
      </w:pPr>
      <w:r>
        <w:rPr>
          <w:sz w:val="23"/>
        </w:rPr>
        <w:t xml:space="preserve">Name:  </w:t>
      </w:r>
      <w:r>
        <w:rPr>
          <w:sz w:val="23"/>
          <w:u w:val="single"/>
        </w:rPr>
        <w:tab/>
        <w:tab/>
        <w:tab/>
      </w:r>
      <w:r>
        <w:rPr>
          <w:sz w:val="23"/>
        </w:rPr>
        <w:t xml:space="preserve">  DATE:</w:t>
      </w:r>
      <w:r>
        <w:rPr>
          <w:sz w:val="23"/>
          <w:u w:val="single"/>
        </w:rPr>
        <w:tab/>
        <w:tab/>
        <w:tab/>
      </w:r>
    </w:p>
    <w:p>
      <w:pPr>
        <w:pStyle w:val="Normal"/>
        <w:widowControl/>
        <w:jc w:val="both"/>
        <w:rPr/>
      </w:pPr>
      <w:r>
        <w:rPr>
          <w:sz w:val="23"/>
        </w:rPr>
        <w:t xml:space="preserve">Title: </w:t>
      </w:r>
      <w:r>
        <w:rPr>
          <w:sz w:val="23"/>
          <w:u w:val="single"/>
        </w:rPr>
        <w:tab/>
        <w:tab/>
        <w:tab/>
        <w:tab/>
        <w:tab/>
        <w:tab/>
        <w:tab/>
        <w:tab/>
      </w:r>
    </w:p>
    <w:p>
      <w:pPr>
        <w:pStyle w:val="Normal"/>
        <w:widowControl/>
        <w:jc w:val="both"/>
        <w:rPr>
          <w:sz w:val="23"/>
          <w:u w:val="single"/>
        </w:rPr>
      </w:pPr>
      <w:r>
        <w:rPr>
          <w:sz w:val="23"/>
          <w:u w:val="single"/>
        </w:rPr>
      </w:r>
    </w:p>
    <w:p>
      <w:pPr>
        <w:pStyle w:val="Normal"/>
        <w:widowControl/>
        <w:jc w:val="both"/>
        <w:rPr>
          <w:b/>
          <w:sz w:val="23"/>
        </w:rPr>
      </w:pPr>
      <w:r>
        <w:rPr>
          <w:b/>
          <w:sz w:val="23"/>
        </w:rPr>
      </w:r>
    </w:p>
    <w:p>
      <w:pPr>
        <w:pStyle w:val="Normal"/>
        <w:widowControl/>
        <w:jc w:val="both"/>
        <w:rPr>
          <w:b/>
          <w:sz w:val="23"/>
        </w:rPr>
      </w:pPr>
      <w:r>
        <w:rPr>
          <w:b/>
          <w:sz w:val="23"/>
        </w:rPr>
        <w:t>Employee</w:t>
      </w:r>
    </w:p>
    <w:p>
      <w:pPr>
        <w:pStyle w:val="Normal"/>
        <w:widowControl/>
        <w:jc w:val="both"/>
        <w:rPr>
          <w:b/>
          <w:sz w:val="23"/>
        </w:rPr>
      </w:pPr>
      <w:r>
        <w:rPr>
          <w:b/>
          <w:sz w:val="23"/>
        </w:rPr>
      </w:r>
    </w:p>
    <w:p>
      <w:pPr>
        <w:pStyle w:val="Normal"/>
        <w:widowControl/>
        <w:suppressAutoHyphens w:val="true"/>
        <w:jc w:val="both"/>
        <w:rPr>
          <w:sz w:val="23"/>
        </w:rPr>
      </w:pPr>
      <w:r>
        <w:rPr>
          <w:sz w:val="23"/>
        </w:rPr>
        <w:t xml:space="preserve">Employee’s Signature: </w:t>
      </w:r>
      <w:r>
        <w:rPr>
          <w:sz w:val="23"/>
          <w:u w:val="single"/>
        </w:rPr>
        <w:tab/>
        <w:tab/>
        <w:tab/>
        <w:tab/>
        <w:tab/>
        <w:tab/>
      </w:r>
      <w:r>
        <w:rPr>
          <w:sz w:val="23"/>
        </w:rPr>
        <w:tab/>
        <w:t xml:space="preserve">DATE: </w:t>
      </w:r>
      <w:r>
        <w:rPr>
          <w:sz w:val="23"/>
          <w:u w:val="single"/>
        </w:rPr>
        <w:tab/>
        <w:tab/>
        <w:tab/>
      </w:r>
    </w:p>
    <w:p>
      <w:pPr>
        <w:pStyle w:val="Normal"/>
        <w:widowControl/>
        <w:suppressAutoHyphens w:val="true"/>
        <w:jc w:val="both"/>
        <w:rPr/>
      </w:pPr>
      <w:r>
        <w:rPr>
          <w:sz w:val="23"/>
        </w:rPr>
        <w:t xml:space="preserve">Printed Name:  </w:t>
      </w:r>
      <w:r>
        <w:rPr>
          <w:sz w:val="23"/>
          <w:u w:val="single"/>
        </w:rPr>
        <w:tab/>
        <w:tab/>
        <w:tab/>
        <w:tab/>
        <w:tab/>
        <w:tab/>
      </w:r>
    </w:p>
    <w:p>
      <w:pPr>
        <w:pStyle w:val="Normal"/>
        <w:widowControl/>
        <w:suppressAutoHyphens w:val="true"/>
        <w:jc w:val="both"/>
        <w:rPr>
          <w:sz w:val="23"/>
          <w:u w:val="single"/>
        </w:rPr>
      </w:pPr>
      <w:r>
        <w:rPr>
          <w:sz w:val="23"/>
          <w:u w:val="single"/>
        </w:rPr>
      </w:r>
    </w:p>
    <w:p>
      <w:pPr>
        <w:pStyle w:val="Normal"/>
        <w:widowControl/>
        <w:suppressAutoHyphens w:val="true"/>
        <w:jc w:val="both"/>
        <w:rPr>
          <w:sz w:val="23"/>
        </w:rPr>
      </w:pPr>
      <w:r>
        <w:rPr>
          <w:sz w:val="23"/>
        </w:rPr>
      </w:r>
    </w:p>
    <w:p>
      <w:pPr>
        <w:pStyle w:val="Normal"/>
        <w:widowControl/>
        <w:suppressAutoHyphens w:val="true"/>
        <w:jc w:val="both"/>
        <w:rPr>
          <w:sz w:val="23"/>
        </w:rPr>
      </w:pPr>
      <w:r>
        <w:rPr>
          <w:sz w:val="23"/>
        </w:rPr>
      </w:r>
    </w:p>
    <w:p>
      <w:pPr>
        <w:pStyle w:val="Normal"/>
        <w:widowControl/>
        <w:suppressAutoHyphens w:val="true"/>
        <w:jc w:val="both"/>
        <w:rPr>
          <w:sz w:val="23"/>
        </w:rPr>
      </w:pPr>
      <w:r>
        <w:rPr>
          <w:sz w:val="23"/>
        </w:rPr>
      </w:r>
    </w:p>
    <w:p>
      <w:pPr>
        <w:pStyle w:val="Normal"/>
        <w:widowControl/>
        <w:suppressAutoHyphens w:val="true"/>
        <w:jc w:val="both"/>
        <w:rPr>
          <w:sz w:val="23"/>
        </w:rPr>
      </w:pPr>
      <w:r>
        <w:rPr>
          <w:sz w:val="23"/>
        </w:rPr>
      </w:r>
    </w:p>
    <w:p>
      <w:pPr>
        <w:pStyle w:val="Normal"/>
        <w:widowControl/>
        <w:suppressAutoHyphens w:val="true"/>
        <w:jc w:val="both"/>
        <w:rPr>
          <w:sz w:val="23"/>
        </w:rPr>
      </w:pPr>
      <w:r>
        <w:rPr>
          <w:sz w:val="23"/>
        </w:rPr>
      </w:r>
    </w:p>
    <w:p>
      <w:pPr>
        <w:pStyle w:val="Normal"/>
        <w:widowControl/>
        <w:suppressAutoHyphens w:val="true"/>
        <w:jc w:val="both"/>
        <w:rPr>
          <w:sz w:val="23"/>
        </w:rPr>
      </w:pPr>
      <w:r>
        <w:rPr>
          <w:sz w:val="23"/>
        </w:rPr>
      </w:r>
    </w:p>
    <w:p>
      <w:pPr>
        <w:pStyle w:val="Normal"/>
        <w:widowControl/>
        <w:suppressAutoHyphens w:val="true"/>
        <w:jc w:val="both"/>
        <w:rPr>
          <w:sz w:val="23"/>
        </w:rPr>
      </w:pPr>
      <w:r>
        <w:rPr>
          <w:sz w:val="23"/>
        </w:rPr>
      </w:r>
    </w:p>
    <w:p>
      <w:pPr>
        <w:pStyle w:val="Normal"/>
        <w:widowControl/>
        <w:suppressAutoHyphens w:val="true"/>
        <w:jc w:val="both"/>
        <w:rPr>
          <w:sz w:val="23"/>
        </w:rPr>
      </w:pPr>
      <w:r>
        <w:rPr>
          <w:sz w:val="23"/>
        </w:rPr>
      </w:r>
    </w:p>
    <w:p>
      <w:pPr>
        <w:pStyle w:val="Normal"/>
        <w:widowControl/>
        <w:suppressAutoHyphens w:val="true"/>
        <w:jc w:val="both"/>
        <w:rPr>
          <w:sz w:val="16"/>
        </w:rPr>
      </w:pPr>
      <w:r>
        <w:rPr>
          <w:sz w:val="16"/>
        </w:rPr>
        <w:t>6247mhc.doc</w:t>
      </w:r>
    </w:p>
    <w:sectPr>
      <w:footerReference w:type="default" r:id="rId2"/>
      <w:footerReference w:type="first" r:id="rId3"/>
      <w:type w:val="nextPage"/>
      <w:pgSz w:w="12240" w:h="15840"/>
      <w:pgMar w:left="1296" w:right="1296" w:gutter="0" w:header="0" w:top="1008" w:footer="432"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Fonts w:ascii="Arial" w:hAnsi="Arial" w:cs="Arial"/>
        <w:sz w:val="12"/>
      </w:rPr>
    </w:pPr>
    <w:r>
      <w:rPr>
        <w:rFonts w:cs="Arial" w:ascii="Arial" w:hAnsi="Arial"/>
        <w:sz w:val="12"/>
      </w:rPr>
      <w:tab/>
      <w:tab/>
    </w:r>
    <w:r>
      <w:rPr>
        <w:sz w:val="10"/>
      </w:rPr>
      <w:t>GuaranteeStandard/01</w:t>
    </w:r>
  </w:p>
  <w:p>
    <w:pPr>
      <w:pStyle w:val="Footer"/>
      <w:widowControl/>
      <w:rPr>
        <w:rFonts w:ascii="Arial" w:hAnsi="Arial" w:cs="Arial"/>
        <w:sz w:val="12"/>
      </w:rPr>
    </w:pPr>
    <w:r>
      <w:rPr>
        <w:rFonts w:cs="Arial" w:ascii="Arial" w:hAnsi="Arial"/>
        <w:sz w:val="12"/>
      </w:rPr>
    </w:r>
  </w:p>
  <w:p>
    <w:pPr>
      <w:pStyle w:val="Footer"/>
      <w:widowControl/>
      <w:rPr>
        <w:sz w:val="16"/>
      </w:rPr>
    </w:pPr>
    <w:r>
      <w:rPr>
        <w:sz w:val="16"/>
      </w:rPr>
      <w:t>EMPLOYEE NAME</w:t>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widowControl/>
      <w:rPr>
        <w:sz w:val="16"/>
      </w:rPr>
    </w:pPr>
    <w:r>
      <w:rPr>
        <w:sz w:val="16"/>
      </w:rPr>
      <w:t>DATE</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6"/>
      <w:numFmt w:val="lowerLetter"/>
      <w:lvlText w:val="%1."/>
      <w:lvlJc w:val="start"/>
      <w:pPr>
        <w:tabs>
          <w:tab w:val="num" w:pos="1440"/>
        </w:tabs>
        <w:ind w:start="1440" w:hanging="720"/>
      </w:pPr>
      <w:rPr>
        <w:color w:val="000000"/>
      </w:rPr>
    </w:lvl>
  </w:abstractNum>
  <w:abstractNum w:abstractNumId="3">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0" w:end="-720"/>
      <w:jc w:val="center"/>
      <w:outlineLvl w:val="0"/>
    </w:pPr>
    <w:rPr>
      <w:rFonts w:ascii="Arial" w:hAnsi="Arial" w:cs="Arial"/>
      <w:b/>
      <w:color w:val="0000FF"/>
      <w:sz w:val="2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widowControl/>
      <w:numPr>
        <w:ilvl w:val="2"/>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center"/>
      <w:outlineLvl w:val="2"/>
    </w:pPr>
    <w:rPr>
      <w:b/>
      <w:bCs/>
      <w:sz w:val="24"/>
    </w:rPr>
  </w:style>
  <w:style w:type="paragraph" w:styleId="Heading4">
    <w:name w:val="heading 4"/>
    <w:basedOn w:val="Normal"/>
    <w:next w:val="Normal"/>
    <w:qFormat/>
    <w:pPr>
      <w:keepNext w:val="true"/>
      <w:widowControl/>
      <w:numPr>
        <w:ilvl w:val="3"/>
        <w:numId w:val="1"/>
      </w:numPr>
      <w:jc w:val="both"/>
      <w:outlineLvl w:val="3"/>
    </w:pPr>
    <w:rPr>
      <w:b/>
      <w:bCs/>
      <w:sz w:val="23"/>
    </w:rPr>
  </w:style>
  <w:style w:type="character" w:styleId="WW8Num4z0">
    <w:name w:val="WW8Num4z0"/>
    <w:qFormat/>
    <w:rPr/>
  </w:style>
  <w:style w:type="character" w:styleId="WW8Num13z0">
    <w:name w:val="WW8Num13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color w:val="000000"/>
    </w:rPr>
  </w:style>
  <w:style w:type="character" w:styleId="WW8NumSt13z0">
    <w:name w:val="WW8NumSt13z0"/>
    <w:qFormat/>
    <w:rPr>
      <w:rFonts w:ascii="Symbol" w:hAnsi="Symbol" w:cs="Symbol"/>
    </w:rPr>
  </w:style>
  <w:style w:type="character" w:styleId="WW8NumSt13z1">
    <w:name w:val="WW8NumSt13z1"/>
    <w:qFormat/>
    <w:rPr>
      <w:rFonts w:ascii="Courier New" w:hAnsi="Courier New" w:cs="Courier New"/>
    </w:rPr>
  </w:style>
  <w:style w:type="character" w:styleId="WW8NumSt13z2">
    <w:name w:val="WW8NumSt13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sz w:val="24"/>
    </w:rPr>
  </w:style>
  <w:style w:type="paragraph" w:styleId="BodyText">
    <w:name w:val="Body Text"/>
    <w:basedOn w:val="Normal"/>
    <w:pPr>
      <w:jc w:val="both"/>
    </w:pPr>
    <w:rPr>
      <w:b/>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rFonts w:ascii="Arial" w:hAnsi="Arial" w:cs="Arial"/>
      <w:sz w:val="22"/>
    </w:rPr>
  </w:style>
  <w:style w:type="paragraph" w:styleId="BodyText3">
    <w:name w:val="Body Text 3"/>
    <w:basedOn w:val="Normal"/>
    <w:qFormat/>
    <w:pPr>
      <w:jc w:val="both"/>
    </w:pPr>
    <w:rPr>
      <w:sz w:val="22"/>
    </w:rPr>
  </w:style>
  <w:style w:type="paragraph" w:styleId="BalloonText">
    <w:name w:val="Balloon Text"/>
    <w:basedOn w:val="Normal"/>
    <w:qFormat/>
    <w:pPr/>
    <w:rPr>
      <w:rFonts w:ascii="Tahoma" w:hAnsi="Tahoma" w:cs="Tahoma"/>
      <w:sz w:val="16"/>
      <w:szCs w:val="16"/>
    </w:rPr>
  </w:style>
  <w:style w:type="paragraph" w:styleId="BodyText2">
    <w:name w:val="Body Text 2"/>
    <w:basedOn w:val="Normal"/>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2002-01-10T21:41:00Z</dcterms:created>
  <dc:creator>EW/LN/CB</dc:creator>
  <dc:description/>
  <cp:keywords>Ethan</cp:keywords>
  <dc:language>en-CA</dc:language>
  <cp:lastModifiedBy>jclyatt</cp:lastModifiedBy>
  <cp:lastPrinted>2001-12-27T13:58:00Z</cp:lastPrinted>
  <dcterms:modified xsi:type="dcterms:W3CDTF">2002-01-10T21:41:00Z</dcterms:modified>
  <cp:revision>2</cp:revision>
  <dc:subject/>
  <dc:title>Wind Umbrella Retention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D">
    <vt:lpwstr>W/620642v6</vt:lpwstr>
  </property>
</Properties>
</file>