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Executive Committee</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Rebecca C. Carter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Corporate Secretary</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Subject"/>
            <w:bookmarkEnd w:id="2"/>
            <w:r>
              <w:rPr/>
              <w:t>May 1</w:t>
            </w:r>
            <w:r>
              <w:rPr>
                <w:vertAlign w:val="superscript"/>
              </w:rPr>
              <w:t>st</w:t>
            </w:r>
            <w:r>
              <w:rPr/>
              <w:t xml:space="preserve"> – Board of Directors Meeting</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April 9, 2001</w:t>
            </w:r>
          </w:p>
        </w:tc>
      </w:tr>
    </w:tbl>
    <w:p>
      <w:pPr>
        <w:pStyle w:val="Body"/>
        <w:rPr>
          <w:sz w:val="23"/>
        </w:rPr>
      </w:pPr>
      <w:r>
        <w:rPr>
          <w:sz w:val="23"/>
        </w:rPr>
      </w:r>
    </w:p>
    <w:p>
      <w:pPr>
        <w:pStyle w:val="Body"/>
        <w:rPr>
          <w:sz w:val="23"/>
        </w:rPr>
      </w:pPr>
      <w:r>
        <w:rPr>
          <w:sz w:val="23"/>
        </w:rPr>
      </w:r>
    </w:p>
    <w:p>
      <w:pPr>
        <w:pStyle w:val="Normal"/>
        <w:tabs>
          <w:tab w:val="clear" w:pos="540"/>
        </w:tabs>
        <w:jc w:val="both"/>
        <w:rPr/>
      </w:pPr>
      <w:r>
        <w:rPr>
          <w:sz w:val="23"/>
        </w:rPr>
        <w:tab/>
      </w:r>
      <w:r>
        <w:rPr>
          <w:sz w:val="22"/>
        </w:rPr>
        <w:t xml:space="preserve">Enron Corp.’s next Board of Directors meeting is scheduled for </w:t>
      </w:r>
      <w:r>
        <w:rPr>
          <w:b/>
          <w:bCs/>
          <w:sz w:val="22"/>
        </w:rPr>
        <w:t>May 1</w:t>
      </w:r>
      <w:r>
        <w:rPr>
          <w:b/>
          <w:bCs/>
          <w:sz w:val="22"/>
          <w:vertAlign w:val="superscript"/>
        </w:rPr>
        <w:t>st</w:t>
      </w:r>
      <w:r>
        <w:rPr>
          <w:bCs/>
          <w:sz w:val="22"/>
        </w:rPr>
        <w:t xml:space="preserve">. </w:t>
      </w:r>
      <w:r>
        <w:rPr>
          <w:sz w:val="22"/>
        </w:rPr>
        <w:t xml:space="preserve"> Prior to that meeting, the Audit and Compliance, Compensation and Management Development, Finance, and Nominating and Corporate Governance Committees of the Board will also meet</w:t>
      </w:r>
      <w:r>
        <w:rPr>
          <w:b/>
          <w:sz w:val="22"/>
        </w:rPr>
        <w:t>.  Any transaction requiring Board approval must first go through the Risk Assessment &amp; Control Group (“RAC”), and RAC needs sufficient lead time to be able to test its models against the analytics presented and arrive at a recommendation.</w:t>
      </w:r>
      <w:r>
        <w:rPr>
          <w:sz w:val="22"/>
        </w:rPr>
        <w:t xml:space="preserve">  </w:t>
      </w:r>
      <w:r>
        <w:rPr>
          <w:b/>
          <w:sz w:val="22"/>
        </w:rPr>
        <w:t xml:space="preserve">If you have an item to be submitted to the Finance Committee, it should be sent to Rick Buy who has responsibility for that Committee agenda.  </w:t>
      </w:r>
      <w:r>
        <w:rPr>
          <w:sz w:val="22"/>
        </w:rPr>
        <w:t xml:space="preserve">If you are unsure as to whether your item should go to the Finance Committee, please call Rick Buy at (713) 853-4739. </w:t>
      </w:r>
    </w:p>
    <w:p>
      <w:pPr>
        <w:pStyle w:val="Normal"/>
        <w:tabs>
          <w:tab w:val="clear" w:pos="540"/>
        </w:tabs>
        <w:jc w:val="both"/>
        <w:rPr>
          <w:sz w:val="22"/>
        </w:rPr>
      </w:pPr>
      <w:r>
        <w:rPr>
          <w:sz w:val="22"/>
        </w:rPr>
      </w:r>
    </w:p>
    <w:p>
      <w:pPr>
        <w:pStyle w:val="Normal"/>
        <w:tabs>
          <w:tab w:val="clear" w:pos="540"/>
        </w:tabs>
        <w:jc w:val="both"/>
        <w:rPr/>
      </w:pPr>
      <w:r>
        <w:rPr>
          <w:sz w:val="22"/>
        </w:rPr>
        <w:tab/>
        <w:t>Please complete and return this memo to me by April 19</w:t>
      </w:r>
      <w:r>
        <w:rPr>
          <w:sz w:val="22"/>
          <w:vertAlign w:val="superscript"/>
        </w:rPr>
        <w:t>th</w:t>
      </w:r>
      <w:r>
        <w:rPr>
          <w:b/>
          <w:bCs/>
          <w:sz w:val="22"/>
        </w:rPr>
        <w:t xml:space="preserve"> </w:t>
      </w:r>
      <w:r>
        <w:rPr>
          <w:sz w:val="22"/>
        </w:rPr>
        <w:t xml:space="preserve">if you have a matter for the agenda. </w:t>
      </w:r>
      <w:r>
        <w:rPr>
          <w:b/>
          <w:sz w:val="22"/>
        </w:rPr>
        <w:t>Agenda items arising after April 19</w:t>
      </w:r>
      <w:r>
        <w:rPr>
          <w:b/>
          <w:sz w:val="22"/>
          <w:vertAlign w:val="superscript"/>
        </w:rPr>
        <w:t>th</w:t>
      </w:r>
      <w:r>
        <w:rPr>
          <w:b/>
          <w:sz w:val="22"/>
        </w:rPr>
        <w:t xml:space="preserve">, </w:t>
      </w:r>
      <w:r>
        <w:rPr>
          <w:b/>
          <w:sz w:val="22"/>
          <w:u w:val="single"/>
        </w:rPr>
        <w:t>must be approved by Jeff Skilling</w:t>
      </w:r>
      <w:r>
        <w:rPr>
          <w:b/>
          <w:sz w:val="22"/>
        </w:rPr>
        <w:t xml:space="preserve"> before submission to me - - NO EXCEPTIONS.</w:t>
      </w:r>
      <w:r>
        <w:rPr>
          <w:sz w:val="22"/>
        </w:rPr>
        <w:t xml:space="preserve"> We anticipate mailing the Board and Board Committees materials no later than April 24</w:t>
      </w:r>
      <w:r>
        <w:rPr>
          <w:sz w:val="22"/>
          <w:vertAlign w:val="superscript"/>
        </w:rPr>
        <w:t>th</w:t>
      </w:r>
      <w:r>
        <w:rPr>
          <w:sz w:val="22"/>
        </w:rPr>
        <w:t>. Please return this letter only if you have an item for the agenda.</w:t>
      </w:r>
    </w:p>
    <w:p>
      <w:pPr>
        <w:pStyle w:val="Footer"/>
        <w:tabs>
          <w:tab w:val="clear" w:pos="4320"/>
          <w:tab w:val="clear" w:pos="8640"/>
        </w:tabs>
        <w:rPr>
          <w:sz w:val="22"/>
        </w:rPr>
      </w:pPr>
      <w:r>
        <w:rPr>
          <w:sz w:val="22"/>
        </w:rPr>
      </w:r>
    </w:p>
    <w:p>
      <w:pPr>
        <w:pStyle w:val="Normal"/>
        <w:tabs>
          <w:tab w:val="clear" w:pos="540"/>
        </w:tabs>
        <w:rPr/>
      </w:pPr>
      <w:r>
        <w:rPr>
          <w:sz w:val="22"/>
          <w:u w:val="single"/>
        </w:rPr>
        <w:t>_______</w:t>
      </w:r>
      <w:r>
        <w:rPr>
          <w:sz w:val="22"/>
        </w:rPr>
        <w:tab/>
        <w:t>I have the following agenda item(s) listed below:</w:t>
      </w:r>
    </w:p>
    <w:p>
      <w:pPr>
        <w:pStyle w:val="Normal"/>
        <w:tabs>
          <w:tab w:val="clear" w:pos="540"/>
        </w:tabs>
        <w:rPr>
          <w:sz w:val="22"/>
        </w:rPr>
      </w:pPr>
      <w:r>
        <w:rPr>
          <w:sz w:val="22"/>
        </w:rPr>
      </w:r>
    </w:p>
    <w:tbl>
      <w:tblPr>
        <w:tblW w:w="8730" w:type="dxa"/>
        <w:jc w:val="start"/>
        <w:tblInd w:w="918" w:type="dxa"/>
        <w:tblLayout w:type="fixed"/>
        <w:tblCellMar>
          <w:top w:w="0" w:type="dxa"/>
          <w:start w:w="108" w:type="dxa"/>
          <w:bottom w:w="0" w:type="dxa"/>
          <w:end w:w="108" w:type="dxa"/>
        </w:tblCellMar>
      </w:tblPr>
      <w:tblGrid>
        <w:gridCol w:w="4590"/>
        <w:gridCol w:w="4140"/>
      </w:tblGrid>
      <w:tr>
        <w:trPr/>
        <w:tc>
          <w:tcPr>
            <w:tcW w:w="4590" w:type="dxa"/>
            <w:tcBorders/>
          </w:tcPr>
          <w:p>
            <w:pPr>
              <w:pStyle w:val="Normal"/>
              <w:tabs>
                <w:tab w:val="clear" w:pos="540"/>
              </w:tabs>
              <w:ind w:firstLine="918" w:start="-918" w:end="0"/>
              <w:rPr>
                <w:sz w:val="22"/>
                <w:u w:val="single"/>
              </w:rPr>
            </w:pPr>
            <w:r>
              <w:rPr>
                <w:sz w:val="22"/>
                <w:u w:val="single"/>
              </w:rPr>
              <w:t>Proposes Item(s)</w:t>
            </w:r>
          </w:p>
        </w:tc>
        <w:tc>
          <w:tcPr>
            <w:tcW w:w="4140" w:type="dxa"/>
            <w:tcBorders/>
          </w:tcPr>
          <w:p>
            <w:pPr>
              <w:pStyle w:val="Normal"/>
              <w:tabs>
                <w:tab w:val="clear" w:pos="540"/>
              </w:tabs>
              <w:rPr>
                <w:sz w:val="22"/>
                <w:u w:val="single"/>
              </w:rPr>
            </w:pPr>
            <w:r>
              <w:rPr>
                <w:sz w:val="22"/>
                <w:u w:val="single"/>
              </w:rPr>
              <w:t>Approx. amount of time needed:</w:t>
            </w:r>
          </w:p>
        </w:tc>
      </w:tr>
      <w:tr>
        <w:trPr/>
        <w:tc>
          <w:tcPr>
            <w:tcW w:w="4590" w:type="dxa"/>
            <w:tcBorders/>
          </w:tcPr>
          <w:p>
            <w:pPr>
              <w:pStyle w:val="Normal"/>
              <w:tabs>
                <w:tab w:val="clear" w:pos="540"/>
              </w:tabs>
              <w:snapToGrid w:val="false"/>
              <w:rPr>
                <w:sz w:val="22"/>
                <w:u w:val="single"/>
              </w:rPr>
            </w:pPr>
            <w:r>
              <w:rPr>
                <w:sz w:val="22"/>
                <w:u w:val="single"/>
              </w:rPr>
            </w:r>
          </w:p>
        </w:tc>
        <w:tc>
          <w:tcPr>
            <w:tcW w:w="4140" w:type="dxa"/>
            <w:tcBorders/>
          </w:tcPr>
          <w:p>
            <w:pPr>
              <w:pStyle w:val="Normal"/>
              <w:tabs>
                <w:tab w:val="clear" w:pos="540"/>
              </w:tabs>
              <w:snapToGrid w:val="false"/>
              <w:rPr>
                <w:sz w:val="22"/>
              </w:rPr>
            </w:pPr>
            <w:r>
              <w:rPr>
                <w:sz w:val="22"/>
              </w:rPr>
            </w:r>
          </w:p>
        </w:tc>
      </w:tr>
      <w:tr>
        <w:trPr/>
        <w:tc>
          <w:tcPr>
            <w:tcW w:w="4590" w:type="dxa"/>
            <w:tcBorders/>
          </w:tcPr>
          <w:p>
            <w:pPr>
              <w:pStyle w:val="Normal"/>
              <w:tabs>
                <w:tab w:val="clear" w:pos="540"/>
              </w:tabs>
              <w:snapToGrid w:val="false"/>
              <w:rPr>
                <w:sz w:val="22"/>
              </w:rPr>
            </w:pPr>
            <w:r>
              <w:rPr>
                <w:sz w:val="22"/>
              </w:rPr>
            </w:r>
          </w:p>
        </w:tc>
        <w:tc>
          <w:tcPr>
            <w:tcW w:w="4140" w:type="dxa"/>
            <w:tcBorders/>
          </w:tcPr>
          <w:p>
            <w:pPr>
              <w:pStyle w:val="Normal"/>
              <w:tabs>
                <w:tab w:val="clear" w:pos="540"/>
              </w:tabs>
              <w:snapToGrid w:val="false"/>
              <w:rPr>
                <w:sz w:val="22"/>
              </w:rPr>
            </w:pPr>
            <w:r>
              <w:rPr>
                <w:sz w:val="22"/>
              </w:rPr>
            </w:r>
          </w:p>
        </w:tc>
      </w:tr>
      <w:tr>
        <w:trPr/>
        <w:tc>
          <w:tcPr>
            <w:tcW w:w="4590" w:type="dxa"/>
            <w:tcBorders/>
          </w:tcPr>
          <w:p>
            <w:pPr>
              <w:pStyle w:val="Normal"/>
              <w:tabs>
                <w:tab w:val="clear" w:pos="540"/>
              </w:tabs>
              <w:snapToGrid w:val="false"/>
              <w:rPr>
                <w:sz w:val="22"/>
              </w:rPr>
            </w:pPr>
            <w:r>
              <w:rPr>
                <w:sz w:val="22"/>
              </w:rPr>
            </w:r>
          </w:p>
        </w:tc>
        <w:tc>
          <w:tcPr>
            <w:tcW w:w="4140" w:type="dxa"/>
            <w:tcBorders/>
          </w:tcPr>
          <w:p>
            <w:pPr>
              <w:pStyle w:val="Normal"/>
              <w:tabs>
                <w:tab w:val="clear" w:pos="540"/>
              </w:tabs>
              <w:snapToGrid w:val="false"/>
              <w:rPr>
                <w:sz w:val="22"/>
              </w:rPr>
            </w:pPr>
            <w:r>
              <w:rPr>
                <w:sz w:val="22"/>
              </w:rPr>
            </w:r>
          </w:p>
        </w:tc>
      </w:tr>
    </w:tbl>
    <w:p>
      <w:pPr>
        <w:pStyle w:val="Normal"/>
        <w:tabs>
          <w:tab w:val="clear" w:pos="540"/>
        </w:tabs>
        <w:rPr>
          <w:sz w:val="22"/>
        </w:rPr>
      </w:pPr>
      <w:r>
        <w:rPr>
          <w:sz w:val="22"/>
        </w:rPr>
      </w:r>
    </w:p>
    <w:p>
      <w:pPr>
        <w:pStyle w:val="Normal"/>
        <w:tabs>
          <w:tab w:val="clear" w:pos="540"/>
        </w:tabs>
        <w:rPr/>
      </w:pPr>
      <w:r>
        <w:rPr>
          <w:sz w:val="22"/>
        </w:rPr>
        <w:tab/>
        <w:t xml:space="preserve">Presentations and resolutions relating to a specific deal or transaction requiring Board approval are included in the Finance Committee </w:t>
      </w:r>
      <w:r>
        <w:rPr>
          <w:b/>
          <w:sz w:val="22"/>
        </w:rPr>
        <w:t>and</w:t>
      </w:r>
      <w:r>
        <w:rPr>
          <w:sz w:val="22"/>
        </w:rPr>
        <w:t xml:space="preserve"> the Board books since the Finance Committee will recommend the transaction for approval to the Board.</w:t>
      </w:r>
    </w:p>
    <w:p>
      <w:pPr>
        <w:pStyle w:val="Normal"/>
        <w:tabs>
          <w:tab w:val="clear" w:pos="540"/>
        </w:tabs>
        <w:rPr>
          <w:sz w:val="22"/>
        </w:rPr>
      </w:pPr>
      <w:r>
        <w:rPr>
          <w:sz w:val="22"/>
        </w:rPr>
      </w:r>
    </w:p>
    <w:p>
      <w:pPr>
        <w:pStyle w:val="Normal"/>
        <w:tabs>
          <w:tab w:val="clear" w:pos="540"/>
        </w:tabs>
        <w:ind w:firstLine="720" w:end="0"/>
        <w:rPr/>
      </w:pPr>
      <w:r>
        <w:rPr>
          <w:sz w:val="22"/>
        </w:rPr>
        <w:t>The following are scheduled to make presentations at the May 1</w:t>
      </w:r>
      <w:r>
        <w:rPr>
          <w:sz w:val="22"/>
          <w:vertAlign w:val="superscript"/>
        </w:rPr>
        <w:t>st</w:t>
      </w:r>
      <w:r>
        <w:rPr>
          <w:sz w:val="22"/>
        </w:rPr>
        <w:t xml:space="preserve"> Board meeting:</w:t>
      </w:r>
    </w:p>
    <w:p>
      <w:pPr>
        <w:pStyle w:val="Normal"/>
        <w:tabs>
          <w:tab w:val="clear" w:pos="540"/>
        </w:tabs>
        <w:rPr>
          <w:sz w:val="22"/>
        </w:rPr>
      </w:pPr>
      <w:r>
        <w:rPr>
          <w:sz w:val="22"/>
        </w:rPr>
      </w:r>
    </w:p>
    <w:tbl>
      <w:tblPr>
        <w:tblW w:w="9000" w:type="dxa"/>
        <w:jc w:val="start"/>
        <w:tblInd w:w="918" w:type="dxa"/>
        <w:tblLayout w:type="fixed"/>
        <w:tblCellMar>
          <w:top w:w="0" w:type="dxa"/>
          <w:start w:w="108" w:type="dxa"/>
          <w:bottom w:w="0" w:type="dxa"/>
          <w:end w:w="108" w:type="dxa"/>
        </w:tblCellMar>
      </w:tblPr>
      <w:tblGrid>
        <w:gridCol w:w="4500"/>
        <w:gridCol w:w="4500"/>
      </w:tblGrid>
      <w:tr>
        <w:trPr/>
        <w:tc>
          <w:tcPr>
            <w:tcW w:w="4500" w:type="dxa"/>
            <w:tcBorders/>
          </w:tcPr>
          <w:p>
            <w:pPr>
              <w:pStyle w:val="Normal"/>
              <w:tabs>
                <w:tab w:val="clear" w:pos="540"/>
              </w:tabs>
              <w:rPr>
                <w:sz w:val="22"/>
              </w:rPr>
            </w:pPr>
            <w:r>
              <w:rPr>
                <w:sz w:val="22"/>
              </w:rPr>
              <w:t>Enron Broadband Services</w:t>
            </w:r>
          </w:p>
        </w:tc>
        <w:tc>
          <w:tcPr>
            <w:tcW w:w="4500" w:type="dxa"/>
            <w:tcBorders/>
          </w:tcPr>
          <w:p>
            <w:pPr>
              <w:pStyle w:val="Normal"/>
              <w:tabs>
                <w:tab w:val="clear" w:pos="540"/>
              </w:tabs>
              <w:rPr>
                <w:sz w:val="22"/>
              </w:rPr>
            </w:pPr>
            <w:r>
              <w:rPr>
                <w:sz w:val="22"/>
              </w:rPr>
              <w:t>Hannon and Rice</w:t>
            </w:r>
          </w:p>
        </w:tc>
      </w:tr>
      <w:tr>
        <w:trPr/>
        <w:tc>
          <w:tcPr>
            <w:tcW w:w="4500" w:type="dxa"/>
            <w:tcBorders/>
          </w:tcPr>
          <w:p>
            <w:pPr>
              <w:pStyle w:val="Normal"/>
              <w:tabs>
                <w:tab w:val="clear" w:pos="540"/>
              </w:tabs>
              <w:rPr>
                <w:sz w:val="22"/>
              </w:rPr>
            </w:pPr>
            <w:r>
              <w:rPr>
                <w:sz w:val="22"/>
              </w:rPr>
              <w:t>Enron Industrial Markets</w:t>
            </w:r>
          </w:p>
        </w:tc>
        <w:tc>
          <w:tcPr>
            <w:tcW w:w="4500" w:type="dxa"/>
            <w:tcBorders/>
          </w:tcPr>
          <w:p>
            <w:pPr>
              <w:pStyle w:val="Normal"/>
              <w:tabs>
                <w:tab w:val="clear" w:pos="540"/>
              </w:tabs>
              <w:rPr>
                <w:sz w:val="22"/>
              </w:rPr>
            </w:pPr>
            <w:r>
              <w:rPr>
                <w:sz w:val="22"/>
              </w:rPr>
              <w:t>Bowen and McMahon</w:t>
            </w:r>
          </w:p>
        </w:tc>
      </w:tr>
    </w:tbl>
    <w:p>
      <w:pPr>
        <w:pStyle w:val="Normal"/>
        <w:tabs>
          <w:tab w:val="clear" w:pos="540"/>
        </w:tabs>
        <w:ind w:firstLine="720" w:end="0"/>
        <w:rPr>
          <w:sz w:val="22"/>
        </w:rPr>
      </w:pPr>
      <w:r>
        <w:rPr>
          <w:sz w:val="22"/>
        </w:rPr>
      </w:r>
      <w:r>
        <w:br w:type="page"/>
      </w:r>
    </w:p>
    <w:p>
      <w:pPr>
        <w:pStyle w:val="Normal"/>
        <w:tabs>
          <w:tab w:val="clear" w:pos="540"/>
        </w:tabs>
        <w:ind w:firstLine="720" w:end="0"/>
        <w:rPr>
          <w:sz w:val="22"/>
        </w:rPr>
      </w:pPr>
      <w:r>
        <w:rPr>
          <w:sz w:val="22"/>
        </w:rPr>
      </w:r>
    </w:p>
    <w:p>
      <w:pPr>
        <w:pStyle w:val="Normal"/>
        <w:tabs>
          <w:tab w:val="clear" w:pos="540"/>
        </w:tabs>
        <w:ind w:firstLine="720" w:end="0"/>
        <w:rPr/>
      </w:pPr>
      <w:r>
        <w:rPr>
          <w:sz w:val="22"/>
        </w:rPr>
        <w:t xml:space="preserve">Business unit and corporate staff presentations are </w:t>
      </w:r>
      <w:r>
        <w:rPr>
          <w:b/>
          <w:sz w:val="22"/>
        </w:rPr>
        <w:t>not</w:t>
      </w:r>
      <w:r>
        <w:rPr>
          <w:sz w:val="22"/>
        </w:rPr>
        <w:t xml:space="preserve"> included in the Board book, but must be reviewed by me prior to the Board meeting, therefore, please note the schedule below to check due dates.  The schedule must be adhered to in order to ensure that we have the information to the Board of Directors and the Office of the Chairman in a timely manner. </w:t>
      </w:r>
    </w:p>
    <w:p>
      <w:pPr>
        <w:pStyle w:val="Normal"/>
        <w:tabs>
          <w:tab w:val="clear" w:pos="540"/>
        </w:tabs>
        <w:rPr>
          <w:sz w:val="22"/>
        </w:rPr>
      </w:pPr>
      <w:r>
        <w:rPr>
          <w:sz w:val="22"/>
        </w:rPr>
      </w:r>
    </w:p>
    <w:tbl>
      <w:tblPr>
        <w:tblW w:w="8730" w:type="dxa"/>
        <w:jc w:val="start"/>
        <w:tblInd w:w="918" w:type="dxa"/>
        <w:tblLayout w:type="fixed"/>
        <w:tblCellMar>
          <w:top w:w="0" w:type="dxa"/>
          <w:start w:w="108" w:type="dxa"/>
          <w:bottom w:w="0" w:type="dxa"/>
          <w:end w:w="108" w:type="dxa"/>
        </w:tblCellMar>
      </w:tblPr>
      <w:tblGrid>
        <w:gridCol w:w="4230"/>
        <w:gridCol w:w="4500"/>
      </w:tblGrid>
      <w:tr>
        <w:trPr/>
        <w:tc>
          <w:tcPr>
            <w:tcW w:w="4230" w:type="dxa"/>
            <w:tcBorders/>
          </w:tcPr>
          <w:p>
            <w:pPr>
              <w:pStyle w:val="Heading1"/>
              <w:ind w:hanging="0" w:start="0"/>
              <w:rPr>
                <w:b/>
                <w:bCs/>
                <w:sz w:val="22"/>
              </w:rPr>
            </w:pPr>
            <w:r>
              <w:rPr>
                <w:b/>
                <w:bCs/>
                <w:sz w:val="22"/>
              </w:rPr>
              <w:t>Due Date</w:t>
            </w:r>
          </w:p>
        </w:tc>
        <w:tc>
          <w:tcPr>
            <w:tcW w:w="4500" w:type="dxa"/>
            <w:tcBorders/>
          </w:tcPr>
          <w:p>
            <w:pPr>
              <w:pStyle w:val="Normal"/>
              <w:tabs>
                <w:tab w:val="clear" w:pos="540"/>
              </w:tabs>
              <w:snapToGrid w:val="false"/>
              <w:rPr>
                <w:b/>
                <w:bCs/>
                <w:sz w:val="22"/>
                <w:u w:val="single"/>
              </w:rPr>
            </w:pPr>
            <w:r>
              <w:rPr>
                <w:b/>
                <w:bCs/>
                <w:sz w:val="22"/>
                <w:u w:val="single"/>
              </w:rPr>
            </w:r>
          </w:p>
        </w:tc>
      </w:tr>
      <w:tr>
        <w:trPr/>
        <w:tc>
          <w:tcPr>
            <w:tcW w:w="4230" w:type="dxa"/>
            <w:tcBorders/>
          </w:tcPr>
          <w:p>
            <w:pPr>
              <w:pStyle w:val="Normal"/>
              <w:tabs>
                <w:tab w:val="clear" w:pos="540"/>
              </w:tabs>
              <w:snapToGrid w:val="false"/>
              <w:rPr>
                <w:sz w:val="22"/>
                <w:u w:val="single"/>
              </w:rPr>
            </w:pPr>
            <w:r>
              <w:rPr>
                <w:sz w:val="22"/>
                <w:u w:val="single"/>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Thursday, April 19</w:t>
            </w:r>
            <w:r>
              <w:rPr>
                <w:sz w:val="22"/>
                <w:vertAlign w:val="superscript"/>
              </w:rPr>
              <w:t>th</w:t>
            </w:r>
          </w:p>
        </w:tc>
        <w:tc>
          <w:tcPr>
            <w:tcW w:w="4500" w:type="dxa"/>
            <w:tcBorders/>
          </w:tcPr>
          <w:p>
            <w:pPr>
              <w:pStyle w:val="Normal"/>
              <w:tabs>
                <w:tab w:val="clear" w:pos="540"/>
              </w:tabs>
              <w:rPr>
                <w:sz w:val="22"/>
              </w:rPr>
            </w:pPr>
            <w:r>
              <w:rPr>
                <w:sz w:val="22"/>
              </w:rPr>
              <w:t>Finance Committee meeting presentations, resolutions, and any other items requiring Board approval to Rick Buy</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Thursday, April 19</w:t>
            </w:r>
            <w:r>
              <w:rPr>
                <w:sz w:val="22"/>
                <w:vertAlign w:val="superscript"/>
              </w:rPr>
              <w:t>th</w:t>
            </w:r>
          </w:p>
        </w:tc>
        <w:tc>
          <w:tcPr>
            <w:tcW w:w="4500" w:type="dxa"/>
            <w:tcBorders/>
          </w:tcPr>
          <w:p>
            <w:pPr>
              <w:pStyle w:val="Normal"/>
              <w:tabs>
                <w:tab w:val="clear" w:pos="540"/>
              </w:tabs>
              <w:rPr>
                <w:sz w:val="22"/>
              </w:rPr>
            </w:pPr>
            <w:r>
              <w:rPr>
                <w:sz w:val="22"/>
              </w:rPr>
              <w:t>Board meeting agenda items to Rebecca Carter</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Tuesday, April 24</w:t>
            </w:r>
            <w:r>
              <w:rPr>
                <w:sz w:val="22"/>
                <w:vertAlign w:val="superscript"/>
              </w:rPr>
              <w:t>th</w:t>
            </w:r>
          </w:p>
        </w:tc>
        <w:tc>
          <w:tcPr>
            <w:tcW w:w="4500" w:type="dxa"/>
            <w:tcBorders/>
          </w:tcPr>
          <w:p>
            <w:pPr>
              <w:pStyle w:val="Normal"/>
              <w:tabs>
                <w:tab w:val="clear" w:pos="540"/>
              </w:tabs>
              <w:rPr>
                <w:sz w:val="22"/>
              </w:rPr>
            </w:pPr>
            <w:r>
              <w:rPr>
                <w:sz w:val="22"/>
              </w:rPr>
              <w:t>Mailing date for Board and Committee books</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Thursday, April 26</w:t>
            </w:r>
            <w:r>
              <w:rPr>
                <w:sz w:val="22"/>
                <w:vertAlign w:val="superscript"/>
              </w:rPr>
              <w:t>th</w:t>
            </w:r>
          </w:p>
        </w:tc>
        <w:tc>
          <w:tcPr>
            <w:tcW w:w="4500" w:type="dxa"/>
            <w:tcBorders/>
          </w:tcPr>
          <w:p>
            <w:pPr>
              <w:pStyle w:val="Normal"/>
              <w:tabs>
                <w:tab w:val="clear" w:pos="540"/>
              </w:tabs>
              <w:rPr>
                <w:sz w:val="22"/>
              </w:rPr>
            </w:pPr>
            <w:r>
              <w:rPr>
                <w:sz w:val="22"/>
              </w:rPr>
              <w:t>Draft of business unit presentations for Board meeting to Rebecca Carter</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Friday, April 27</w:t>
            </w:r>
            <w:r>
              <w:rPr>
                <w:sz w:val="22"/>
                <w:vertAlign w:val="superscript"/>
              </w:rPr>
              <w:t>th</w:t>
            </w:r>
          </w:p>
        </w:tc>
        <w:tc>
          <w:tcPr>
            <w:tcW w:w="4500" w:type="dxa"/>
            <w:tcBorders/>
          </w:tcPr>
          <w:p>
            <w:pPr>
              <w:pStyle w:val="Normal"/>
              <w:tabs>
                <w:tab w:val="clear" w:pos="540"/>
              </w:tabs>
              <w:rPr/>
            </w:pPr>
            <w:r>
              <w:rPr>
                <w:b/>
                <w:sz w:val="22"/>
              </w:rPr>
              <w:t>Final</w:t>
            </w:r>
            <w:r>
              <w:rPr>
                <w:sz w:val="22"/>
              </w:rPr>
              <w:t xml:space="preserve"> business unit presentations for Board meeting to Rebecca Carter and Terry West</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Monday, April 30</w:t>
            </w:r>
            <w:r>
              <w:rPr>
                <w:sz w:val="22"/>
                <w:vertAlign w:val="superscript"/>
              </w:rPr>
              <w:t>th</w:t>
            </w:r>
          </w:p>
        </w:tc>
        <w:tc>
          <w:tcPr>
            <w:tcW w:w="4500" w:type="dxa"/>
            <w:tcBorders/>
          </w:tcPr>
          <w:p>
            <w:pPr>
              <w:pStyle w:val="Normal"/>
              <w:tabs>
                <w:tab w:val="clear" w:pos="540"/>
              </w:tabs>
              <w:rPr>
                <w:sz w:val="22"/>
              </w:rPr>
            </w:pPr>
            <w:r>
              <w:rPr>
                <w:sz w:val="22"/>
              </w:rPr>
              <w:t>Committee meetings (Monday afternoon)</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Tuesday, May 1</w:t>
            </w:r>
            <w:r>
              <w:rPr>
                <w:sz w:val="22"/>
                <w:vertAlign w:val="superscript"/>
              </w:rPr>
              <w:t>st</w:t>
            </w:r>
          </w:p>
        </w:tc>
        <w:tc>
          <w:tcPr>
            <w:tcW w:w="4500" w:type="dxa"/>
            <w:tcBorders/>
          </w:tcPr>
          <w:p>
            <w:pPr>
              <w:pStyle w:val="Normal"/>
              <w:tabs>
                <w:tab w:val="clear" w:pos="540"/>
              </w:tabs>
              <w:rPr>
                <w:sz w:val="22"/>
              </w:rPr>
            </w:pPr>
            <w:r>
              <w:rPr>
                <w:sz w:val="22"/>
              </w:rPr>
              <w:t>Board meeting</w:t>
            </w:r>
          </w:p>
        </w:tc>
      </w:tr>
    </w:tbl>
    <w:p>
      <w:pPr>
        <w:pStyle w:val="Footer"/>
        <w:tabs>
          <w:tab w:val="clear" w:pos="4320"/>
          <w:tab w:val="clear" w:pos="8640"/>
        </w:tabs>
        <w:rPr>
          <w:sz w:val="22"/>
        </w:rPr>
      </w:pPr>
      <w:r>
        <w:rPr>
          <w:sz w:val="22"/>
        </w:rPr>
      </w:r>
    </w:p>
    <w:p>
      <w:pPr>
        <w:pStyle w:val="Footer"/>
        <w:tabs>
          <w:tab w:val="clear" w:pos="4320"/>
          <w:tab w:val="clear" w:pos="8640"/>
        </w:tabs>
        <w:rPr>
          <w:sz w:val="22"/>
        </w:rPr>
      </w:pPr>
      <w:r>
        <w:rPr>
          <w:sz w:val="22"/>
        </w:rPr>
      </w:r>
    </w:p>
    <w:p>
      <w:pPr>
        <w:pStyle w:val="Footer"/>
        <w:tabs>
          <w:tab w:val="clear" w:pos="4320"/>
          <w:tab w:val="clear" w:pos="8640"/>
        </w:tabs>
        <w:rPr>
          <w:sz w:val="22"/>
        </w:rPr>
      </w:pPr>
      <w:r>
        <w:rPr>
          <w:sz w:val="22"/>
        </w:rPr>
        <w:t>cc:</w:t>
        <w:tab/>
        <w:t>Terry West</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b/>
        <w:sz w:val="16"/>
      </w:rPr>
    </w:pPr>
    <w:r>
      <w:rPr>
        <w:b/>
        <w:sz w:val="16"/>
      </w:rPr>
      <w:tab/>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6"/>
      </w:rPr>
    </w:pPr>
    <w:r>
      <w:rPr>
        <w:b/>
        <w:sz w:val="16"/>
      </w:rPr>
      <w:fldChar w:fldCharType="begin"/>
    </w:r>
    <w:r>
      <w:rPr>
        <w:sz w:val="16"/>
        <w:b/>
      </w:rPr>
      <w:instrText xml:space="preserve"> FILENAME \p </w:instrText>
    </w:r>
    <w:r>
      <w:rPr>
        <w:sz w:val="16"/>
        <w:b/>
      </w:rPr>
      <w:fldChar w:fldCharType="separate"/>
    </w:r>
    <w:r>
      <w:rPr>
        <w:sz w:val="16"/>
        <w:b/>
      </w:rPr>
      <w:t>/mnt/main-storage/datasets/enron-docs/doc/Agndareq-24996ba4a016de307c91f1a1110e27f2db2564fa03c47ba700dac230e3b6090e.doc</w:t>
    </w:r>
    <w:r>
      <w:rPr>
        <w:sz w:val="16"/>
        <w:b/>
      </w:rPr>
      <w:fldChar w:fldCharType="end"/>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b/>
      </w:rPr>
    </w:pPr>
    <w:r>
      <w:rPr>
        <w:b/>
      </w:rPr>
      <w:t>May 2</w:t>
    </w:r>
    <w:r>
      <w:rPr>
        <w:b/>
        <w:vertAlign w:val="superscript"/>
      </w:rPr>
      <w:t>nd</w:t>
    </w:r>
    <w:r>
      <w:rPr>
        <w:b/>
      </w:rPr>
      <w:t xml:space="preserve"> - Board of Directors Meeting </w:t>
      <w:tab/>
      <w:tab/>
      <w:t>Page</w:t>
      <w:tab/>
    </w:r>
    <w:r>
      <w:rPr>
        <w:rStyle w:val="PageNumber"/>
        <w:b/>
      </w:rPr>
      <w:fldChar w:fldCharType="begin"/>
    </w:r>
    <w:r>
      <w:rPr>
        <w:rStyle w:val="PageNumber"/>
        <w:b/>
      </w:rPr>
      <w:instrText xml:space="preserve"> PAGE </w:instrText>
    </w:r>
    <w:r>
      <w:rPr>
        <w:rStyle w:val="PageNumber"/>
        <w:b/>
      </w:rPr>
      <w:fldChar w:fldCharType="separate"/>
    </w:r>
    <w:r>
      <w:rPr>
        <w:rStyle w:val="PageNumber"/>
        <w:b/>
      </w:rPr>
      <w:t>2</w:t>
    </w:r>
    <w:r>
      <w:rPr>
        <w:rStyle w:val="PageNumber"/>
        <w:b/>
      </w:rPr>
      <w:fldChar w:fldCharType="end"/>
    </w:r>
  </w:p>
  <w:p>
    <w:pPr>
      <w:pStyle w:val="Header"/>
      <w:rPr>
        <w:rStyle w:val="PageNumber"/>
        <w:b/>
      </w:rPr>
    </w:pPr>
    <w:r>
      <w:rPr/>
    </w:r>
  </w:p>
  <w:p>
    <w:pPr>
      <w:pStyle w:val="Header"/>
      <w:rPr>
        <w:rStyle w:val="PageNumber"/>
        <w:b/>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sz w:val="23"/>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sz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BFSMEMO3.dot</Template>
  <TotalTime>690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1998-04-07T17:12:00Z</dcterms:created>
  <dc:creator>Enron</dc:creator>
  <dc:description/>
  <dc:language>en-CA</dc:language>
  <cp:lastModifiedBy>kjohnso</cp:lastModifiedBy>
  <cp:lastPrinted>2001-04-09T14:32:00Z</cp:lastPrinted>
  <dcterms:modified xsi:type="dcterms:W3CDTF">2001-04-09T17:02:00Z</dcterms:modified>
  <cp:revision>176</cp:revision>
  <dc:subject/>
  <dc:title>Better, Faster, Simpler Memo </dc:title>
</cp:coreProperties>
</file>