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ernhardMod BT" w:hAnsi="BernhardMod BT" w:cs="BernhardMod BT"/>
          <w:b/>
          <w:i/>
          <w:i/>
          <w:sz w:val="26"/>
        </w:rPr>
      </w:pPr>
      <w:r>
        <w:rPr>
          <w:rFonts w:cs="BernhardMod BT" w:ascii="BernhardMod BT" w:hAnsi="BernhardMod BT"/>
          <w:b/>
          <w:i/>
          <w:sz w:val="26"/>
        </w:rPr>
        <w:t>Promising Gas Options – I.99-07-003</w:t>
      </w:r>
    </w:p>
    <w:p>
      <w:pPr>
        <w:pStyle w:val="Normal"/>
        <w:spacing w:before="120" w:after="0"/>
        <w:jc w:val="center"/>
        <w:rPr>
          <w:rFonts w:ascii="Bookman Old Style" w:hAnsi="Bookman Old Style" w:cs="Bookman Old Style"/>
          <w:b/>
          <w:sz w:val="32"/>
        </w:rPr>
      </w:pPr>
      <w:r>
        <w:rPr>
          <w:rFonts w:cs="Bookman Old Style" w:ascii="Bookman Old Style" w:hAnsi="Bookman Old Style"/>
          <w:b/>
          <w:sz w:val="32"/>
        </w:rPr>
        <w:t>OFO Forum</w:t>
      </w:r>
    </w:p>
    <w:p>
      <w:pPr>
        <w:pStyle w:val="Normal"/>
        <w:jc w:val="center"/>
        <w:rPr>
          <w:rFonts w:ascii="GeoSlab703 Lt BT" w:hAnsi="GeoSlab703 Lt BT" w:cs="GeoSlab703 Lt BT"/>
          <w:b/>
          <w:sz w:val="24"/>
        </w:rPr>
      </w:pPr>
      <w:r>
        <w:rPr>
          <w:rFonts w:cs="GeoSlab703 Lt BT" w:ascii="GeoSlab703 Lt BT" w:hAnsi="GeoSlab703 Lt BT"/>
          <w:b/>
          <w:sz w:val="24"/>
        </w:rPr>
        <w:t>Tuesday, August 29, 1999, 9:30 a.m. to 4:00 p.m.</w:t>
      </w:r>
    </w:p>
    <w:p>
      <w:pPr>
        <w:pStyle w:val="Normal"/>
        <w:jc w:val="center"/>
        <w:rPr/>
      </w:pPr>
      <w:r>
        <w:rPr>
          <w:rFonts w:cs="GeoSlab703 Lt BT" w:ascii="GeoSlab703 Lt BT" w:hAnsi="GeoSlab703 Lt BT"/>
          <w:b/>
          <w:sz w:val="24"/>
        </w:rPr>
        <w:t>(Pacific Energy Center, 851 Howard Street, San Francisco)</w:t>
      </w:r>
    </w:p>
    <w:p>
      <w:pPr>
        <w:pStyle w:val="Normal"/>
        <w:spacing w:before="240" w:after="60"/>
        <w:jc w:val="center"/>
        <w:rPr/>
      </w:pPr>
      <w:r>
        <w:rPr/>
        <w:t>AGENDA</w:t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7459"/>
        <w:gridCol w:w="11"/>
        <w:gridCol w:w="1127"/>
        <w:gridCol w:w="43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</w:tc>
        <w:tc>
          <w:tcPr>
            <w:tcW w:w="7470" w:type="dxa"/>
            <w:gridSpan w:val="2"/>
            <w:tcBorders/>
          </w:tcPr>
          <w:p>
            <w:pPr>
              <w:pStyle w:val="Normal"/>
              <w:spacing w:before="120" w:after="0"/>
              <w:jc w:val="center"/>
              <w:rPr>
                <w:b/>
                <w:sz w:val="26"/>
              </w:rPr>
            </w:pPr>
            <w:r>
              <w:rPr>
                <w:rFonts w:cs="BernhardMod BT" w:ascii="BernhardMod BT" w:hAnsi="BernhardMod BT"/>
                <w:b/>
                <w:i/>
                <w:sz w:val="26"/>
              </w:rPr>
              <w:t>Continental Breakfast from 9:00 a.m.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Bullet1-Memo"/>
              <w:snapToGrid w:val="false"/>
              <w:spacing w:before="120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240" w:after="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0"/>
                <w:numId w:val="2"/>
              </w:numPr>
              <w:spacing w:before="24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Welcome and Objectives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snapToGrid w:val="false"/>
              <w:spacing w:before="24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2"/>
              </w:numPr>
              <w:spacing w:before="24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Update on Other Current Items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2"/>
              </w:numPr>
              <w:spacing w:before="24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OFO Forum and OFO Report Purpose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2"/>
              </w:numPr>
              <w:spacing w:before="24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Review of Balancing, OFO Criteria and OFO Experience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2"/>
              </w:numPr>
              <w:spacing w:before="24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Detailed Imbalance Data Associated with OFO Days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2"/>
              </w:numPr>
              <w:spacing w:before="24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Discussion Sections from OFO Report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1"/>
                <w:numId w:val="2"/>
              </w:numPr>
              <w:spacing w:before="120" w:after="0"/>
              <w:rPr>
                <w:sz w:val="26"/>
              </w:rPr>
            </w:pPr>
            <w:r>
              <w:rPr>
                <w:sz w:val="26"/>
              </w:rPr>
              <w:t>Drivers of OFO Events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1"/>
                <w:numId w:val="2"/>
              </w:numPr>
              <w:spacing w:before="120" w:after="0"/>
              <w:rPr>
                <w:sz w:val="26"/>
              </w:rPr>
            </w:pPr>
            <w:r>
              <w:rPr>
                <w:sz w:val="26"/>
              </w:rPr>
              <w:t>Market Center Imbalances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1"/>
                <w:numId w:val="2"/>
              </w:numPr>
              <w:spacing w:before="120" w:after="0"/>
              <w:rPr>
                <w:sz w:val="26"/>
              </w:rPr>
            </w:pPr>
            <w:r>
              <w:rPr>
                <w:sz w:val="26"/>
              </w:rPr>
              <w:t>Effectiveness of Customer-Specific versus System-Wide OFOs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24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</w:tc>
        <w:tc>
          <w:tcPr>
            <w:tcW w:w="7470" w:type="dxa"/>
            <w:gridSpan w:val="2"/>
            <w:tcBorders/>
          </w:tcPr>
          <w:p>
            <w:pPr>
              <w:pStyle w:val="Normal"/>
              <w:spacing w:before="240" w:after="240"/>
              <w:jc w:val="center"/>
              <w:rPr>
                <w:b/>
                <w:sz w:val="26"/>
              </w:rPr>
            </w:pPr>
            <w:r>
              <w:rPr>
                <w:rFonts w:cs="BernhardMod BT" w:ascii="BernhardMod BT" w:hAnsi="BernhardMod BT"/>
                <w:b/>
                <w:i/>
                <w:sz w:val="26"/>
              </w:rPr>
              <w:t>Lunch from 12:00 to 1:00 p.m.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Bullet1-Memo"/>
              <w:snapToGrid w:val="false"/>
              <w:spacing w:before="120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1"/>
                <w:numId w:val="2"/>
              </w:numPr>
              <w:spacing w:before="120" w:after="0"/>
              <w:rPr>
                <w:sz w:val="26"/>
              </w:rPr>
            </w:pPr>
            <w:r>
              <w:rPr>
                <w:sz w:val="26"/>
              </w:rPr>
              <w:t>Significant Contributors Leading Up To OFO Days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1"/>
                <w:numId w:val="2"/>
              </w:numPr>
              <w:spacing w:before="120" w:after="0"/>
              <w:rPr>
                <w:sz w:val="26"/>
              </w:rPr>
            </w:pPr>
            <w:r>
              <w:rPr>
                <w:sz w:val="26"/>
              </w:rPr>
              <w:t>Significant Contributors on OFO Days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240" w:after="0"/>
              <w:ind w:hanging="0" w:start="0" w:end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2"/>
              </w:numPr>
              <w:spacing w:before="18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Balancing Storage Report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1"/>
                <w:numId w:val="2"/>
              </w:numPr>
              <w:spacing w:before="120" w:after="0"/>
              <w:rPr>
                <w:sz w:val="26"/>
              </w:rPr>
            </w:pPr>
            <w:r>
              <w:rPr>
                <w:sz w:val="26"/>
              </w:rPr>
              <w:t>Effect on OFOs of Adding Storage Assets to Bundled Balancing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numPr>
                <w:ilvl w:val="1"/>
                <w:numId w:val="2"/>
              </w:numPr>
              <w:spacing w:before="120" w:after="0"/>
              <w:rPr>
                <w:sz w:val="26"/>
              </w:rPr>
            </w:pPr>
            <w:r>
              <w:rPr>
                <w:sz w:val="26"/>
              </w:rPr>
              <w:t>Cost Analysis of Additional Storage Assets for Balancing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snapToGrid w:val="false"/>
              <w:spacing w:before="120" w:after="0"/>
              <w:ind w:hanging="0"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240" w:after="0"/>
              <w:ind w:hanging="0" w:start="0" w:end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7459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2"/>
              </w:numPr>
              <w:spacing w:before="240" w:after="0"/>
              <w:rPr>
                <w:b/>
                <w:sz w:val="26"/>
              </w:rPr>
            </w:pPr>
            <w:r>
              <w:rPr>
                <w:b/>
                <w:sz w:val="26"/>
              </w:rPr>
              <w:t>Discussion of Recommendations and Next Steps</w:t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Bullet1-Memo"/>
              <w:keepNext w:val="true"/>
              <w:snapToGrid w:val="false"/>
              <w:spacing w:before="240" w:after="0"/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/>
                <w:i/>
                <w:sz w:val="30"/>
              </w:rPr>
            </w:r>
          </w:p>
        </w:tc>
        <w:tc>
          <w:tcPr>
            <w:tcW w:w="7470" w:type="dxa"/>
            <w:gridSpan w:val="2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/>
                <w:i/>
                <w:i/>
                <w:sz w:val="26"/>
              </w:rPr>
            </w:pPr>
            <w:r>
              <w:rPr>
                <w:rFonts w:cs="BernhardMod BT" w:ascii="BernhardMod BT" w:hAnsi="BernhardMod BT"/>
                <w:b/>
                <w:i/>
                <w:sz w:val="26"/>
              </w:rPr>
              <w:t>Adjourn around 4:00 p.m.</w:t>
            </w:r>
          </w:p>
        </w:tc>
        <w:tc>
          <w:tcPr>
            <w:tcW w:w="1127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/>
                <w:i/>
                <w:sz w:val="22"/>
              </w:rPr>
            </w:r>
          </w:p>
        </w:tc>
        <w:tc>
          <w:tcPr>
            <w:tcW w:w="43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6"/>
              </w:rPr>
            </w:pPr>
            <w:r>
              <w:rPr>
                <w:sz w:val="26"/>
              </w:rPr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sectPr>
      <w:headerReference w:type="default" r:id="rId2"/>
      <w:headerReference w:type="first" r:id="rId3"/>
      <w:type w:val="nextPage"/>
      <w:pgSz w:w="12240" w:h="15840"/>
      <w:pgMar w:left="1440" w:right="1296" w:gutter="0" w:header="720" w:top="1152" w:footer="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  <w:font w:name="BernhardMod BT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GeoSlab703 Lt BT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Prepared for Settlement Discussions</w:t>
    </w:r>
  </w:p>
  <w:p>
    <w:pPr>
      <w:pStyle w:val="Normal"/>
      <w:rPr>
        <w:rFonts w:ascii="BernhardMod BT" w:hAnsi="BernhardMod BT" w:cs="BernhardMod BT"/>
        <w:b/>
        <w:i/>
        <w:i/>
        <w:sz w:val="26"/>
      </w:rPr>
    </w:pPr>
    <w:r>
      <w:rPr>
        <w:rFonts w:cs="BernhardMod BT" w:ascii="BernhardMod BT" w:hAnsi="BernhardMod BT"/>
        <w:b/>
        <w:i/>
        <w:sz w:val="26"/>
      </w:rPr>
      <w:t>Promising Gas Options – I.99-07-003</w:t>
    </w:r>
  </w:p>
  <w:p>
    <w:pPr>
      <w:pStyle w:val="Normal"/>
      <w:rPr>
        <w:rFonts w:ascii="Bookman Old Style" w:hAnsi="Bookman Old Style" w:cs="Bookman Old Style"/>
        <w:b/>
        <w:sz w:val="26"/>
      </w:rPr>
    </w:pPr>
    <w:r>
      <w:rPr>
        <w:rFonts w:cs="Bookman Old Style" w:ascii="Bookman Old Style" w:hAnsi="Bookman Old Style"/>
        <w:b/>
        <w:sz w:val="26"/>
      </w:rPr>
      <w:t>OFO Forum, August 29, 2000</w:t>
    </w:r>
  </w:p>
  <w:p>
    <w:pPr>
      <w:pStyle w:val="Normal"/>
      <w:rPr>
        <w:rFonts w:ascii="Bookman Old Style" w:hAnsi="Bookman Old Style" w:cs="Bookman Old Style"/>
        <w:b/>
        <w:sz w:val="22"/>
      </w:rPr>
    </w:pPr>
    <w:r>
      <w:rPr>
        <w:rFonts w:cs="Bookman Old Style" w:ascii="Bookman Old Style" w:hAnsi="Bookman Old Style"/>
        <w:b/>
        <w:sz w:val="26"/>
      </w:rPr>
      <w:t>AGENDA</w:t>
    </w:r>
  </w:p>
  <w:p>
    <w:pPr>
      <w:pStyle w:val="Normal"/>
      <w:rPr>
        <w:rFonts w:ascii="Bookman Old Style" w:hAnsi="Bookman Old Style" w:cs="Bookman Old Style"/>
        <w:b/>
        <w:sz w:val="26"/>
      </w:rPr>
    </w:pPr>
    <w:r>
      <w:rPr>
        <w:rFonts w:cs="Bookman Old Style" w:ascii="Bookman Old Style" w:hAnsi="Bookman Old Style"/>
        <w:b/>
        <w:sz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Prepared for Settlement Discussions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lowerLetter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decimal"/>
      <w:lvlText w:val="(%3)"/>
      <w:lvlJc w:val="start"/>
      <w:pPr>
        <w:tabs>
          <w:tab w:val="num" w:pos="432"/>
        </w:tabs>
        <w:ind w:start="1296" w:hanging="432"/>
      </w:pPr>
      <w:rPr>
        <w:sz w:val="22"/>
      </w:rPr>
    </w:lvl>
    <w:lvl w:ilvl="3">
      <w:start w:val="1"/>
      <w:numFmt w:val="lowerLetter"/>
      <w:lvlText w:val="%4)"/>
      <w:lvlJc w:val="start"/>
      <w:pPr>
        <w:tabs>
          <w:tab w:val="num" w:pos="720"/>
        </w:tabs>
        <w:ind w:start="2016" w:hanging="720"/>
      </w:pPr>
    </w:lvl>
    <w:lvl w:ilvl="4">
      <w:start w:val="1"/>
      <w:numFmt w:val="decimal"/>
      <w:lvlText w:val="(%5)"/>
      <w:lvlJc w:val="start"/>
      <w:pPr>
        <w:tabs>
          <w:tab w:val="num" w:pos="720"/>
        </w:tabs>
        <w:ind w:start="2736" w:hanging="720"/>
      </w:pPr>
    </w:lvl>
    <w:lvl w:ilvl="5">
      <w:start w:val="1"/>
      <w:numFmt w:val="lowerLetter"/>
      <w:lvlText w:val="(%6)"/>
      <w:lvlJc w:val="start"/>
      <w:pPr>
        <w:tabs>
          <w:tab w:val="num" w:pos="720"/>
        </w:tabs>
        <w:ind w:start="3456" w:hanging="720"/>
      </w:pPr>
    </w:lvl>
    <w:lvl w:ilvl="6">
      <w:start w:val="1"/>
      <w:numFmt w:val="lowerRoman"/>
      <w:lvlText w:val="(%7)"/>
      <w:lvlJc w:val="start"/>
      <w:pPr>
        <w:tabs>
          <w:tab w:val="num" w:pos="720"/>
        </w:tabs>
        <w:ind w:start="4176" w:hanging="720"/>
      </w:pPr>
    </w:lvl>
    <w:lvl w:ilvl="7">
      <w:start w:val="1"/>
      <w:numFmt w:val="lowerLetter"/>
      <w:lvlText w:val="(%8)"/>
      <w:lvlJc w:val="start"/>
      <w:pPr>
        <w:tabs>
          <w:tab w:val="num" w:pos="720"/>
        </w:tabs>
        <w:ind w:start="4896" w:hanging="720"/>
      </w:pPr>
    </w:lvl>
    <w:lvl w:ilvl="8">
      <w:start w:val="1"/>
      <w:numFmt w:val="lowerRoman"/>
      <w:lvlText w:val="(%9)"/>
      <w:lvlJc w:val="start"/>
      <w:pPr>
        <w:tabs>
          <w:tab w:val="num" w:pos="720"/>
        </w:tabs>
        <w:ind w:start="5616" w:hanging="72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2">
    <w:name w:val="WW8Num2z2"/>
    <w:qFormat/>
    <w:rPr>
      <w:sz w:val="22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4"/>
    </w:rPr>
  </w:style>
  <w:style w:type="paragraph" w:styleId="Bullet1-Memo">
    <w:name w:val="Bullet 1 - Memo"/>
    <w:basedOn w:val="Normal"/>
    <w:qFormat/>
    <w:pPr>
      <w:ind w:hanging="432" w:start="432" w:end="0"/>
    </w:pPr>
    <w:rPr/>
  </w:style>
  <w:style w:type="paragraph" w:styleId="Bullet2-Memo">
    <w:name w:val="Bullet 2 - Memo"/>
    <w:basedOn w:val="Normal"/>
    <w:qFormat/>
    <w:pPr>
      <w:ind w:hanging="432" w:start="864" w:end="432"/>
    </w:pPr>
    <w:rPr/>
  </w:style>
  <w:style w:type="paragraph" w:styleId="Bullet3-Memo">
    <w:name w:val="Bullet 3 - Memo"/>
    <w:basedOn w:val="Normal"/>
    <w:qFormat/>
    <w:pPr>
      <w:ind w:hanging="432" w:start="1296" w:end="432"/>
    </w:pPr>
    <w:rPr/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3-Memo">
    <w:name w:val="Indent 3 - Memo"/>
    <w:basedOn w:val="Bullet3-Memo"/>
    <w:qFormat/>
    <w:pPr/>
    <w:rPr/>
  </w:style>
  <w:style w:type="paragraph" w:styleId="Indent2-Memo">
    <w:name w:val="Indent 2 - Memo"/>
    <w:basedOn w:val="Bullet2-Memo"/>
    <w:qFormat/>
    <w:pPr>
      <w:ind w:hanging="0" w:start="864" w:end="432"/>
    </w:pPr>
    <w:rPr/>
  </w:style>
  <w:style w:type="paragraph" w:styleId="Indent0">
    <w:name w:val="Indent 0"/>
    <w:basedOn w:val="Normal"/>
    <w:qFormat/>
    <w:pPr/>
    <w:rPr>
      <w:rFonts w:ascii="Helvetica" w:hAnsi="Helvetica" w:cs="Helvetica"/>
    </w:rPr>
  </w:style>
  <w:style w:type="paragraph" w:styleId="EnvelopeAddress">
    <w:name w:val="envelope address"/>
    <w:basedOn w:val="Normal"/>
    <w:pPr>
      <w:ind w:hanging="0" w:start="2880" w:end="0"/>
    </w:pPr>
    <w:rPr>
      <w:rFonts w:ascii="BernhardMod BT" w:hAnsi="BernhardMod BT" w:cs="BernhardMod BT"/>
      <w:b/>
      <w:sz w:val="32"/>
    </w:rPr>
  </w:style>
  <w:style w:type="paragraph" w:styleId="EnvelopeReturn">
    <w:name w:val="envelope return"/>
    <w:basedOn w:val="Normal"/>
    <w:pPr/>
    <w:rPr>
      <w:rFonts w:ascii="BernhardMod BT" w:hAnsi="BernhardMod BT" w:cs="BernhardMod BT"/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ullet1">
    <w:name w:val="Bullet 1"/>
    <w:basedOn w:val="Normal"/>
    <w:qFormat/>
    <w:pPr>
      <w:ind w:hanging="432" w:start="432" w:end="0"/>
    </w:pPr>
    <w:rPr>
      <w:sz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2000-08-10T13:24:00Z</dcterms:created>
  <dc:creator>Geoff Bellenger</dc:creator>
  <dc:description/>
  <dc:language>en-CA</dc:language>
  <cp:lastModifiedBy>Geoffrey Bellenger</cp:lastModifiedBy>
  <cp:lastPrinted>2000-08-22T08:07:00Z</cp:lastPrinted>
  <dcterms:modified xsi:type="dcterms:W3CDTF">2000-08-23T13:35:00Z</dcterms:modified>
  <cp:revision>5</cp:revision>
  <dc:subject/>
  <dc:title> </dc:title>
</cp:coreProperties>
</file>