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San Diego Gas &amp; Electric Company,</w:t>
      </w:r>
    </w:p>
    <w:p>
      <w:pPr>
        <w:pStyle w:val="Normal"/>
        <w:widowControl/>
        <w:rPr>
          <w:sz w:val="26"/>
          <w:szCs w:val="26"/>
        </w:rPr>
      </w:pPr>
      <w:r>
        <w:rPr>
          <w:sz w:val="26"/>
          <w:szCs w:val="26"/>
        </w:rPr>
        <w:t xml:space="preserve">                                 </w:t>
      </w:r>
      <w:r>
        <w:rPr>
          <w:sz w:val="26"/>
          <w:szCs w:val="26"/>
        </w:rPr>
        <w:t>Complainant,</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v.                                                                              Docket No. EL00-95-000</w:t>
      </w:r>
    </w:p>
    <w:p>
      <w:pPr>
        <w:pStyle w:val="Normal"/>
        <w:widowControl/>
        <w:ind w:firstLine="5760" w:end="0"/>
        <w:rPr>
          <w:sz w:val="26"/>
          <w:szCs w:val="26"/>
        </w:rPr>
      </w:pPr>
      <w:r>
        <w:rPr>
          <w:sz w:val="26"/>
          <w:szCs w:val="26"/>
        </w:rPr>
        <w:t xml:space="preserve">        </w:t>
      </w:r>
    </w:p>
    <w:p>
      <w:pPr>
        <w:pStyle w:val="Normal"/>
        <w:widowControl/>
        <w:rPr>
          <w:sz w:val="26"/>
          <w:szCs w:val="26"/>
        </w:rPr>
      </w:pPr>
      <w:r>
        <w:rPr>
          <w:sz w:val="26"/>
          <w:szCs w:val="26"/>
        </w:rPr>
        <w:t>Sellers of Energy and Ancillary Services</w:t>
      </w:r>
    </w:p>
    <w:p>
      <w:pPr>
        <w:pStyle w:val="Normal"/>
        <w:widowControl/>
        <w:rPr>
          <w:sz w:val="26"/>
          <w:szCs w:val="26"/>
        </w:rPr>
      </w:pPr>
      <w:r>
        <w:rPr>
          <w:sz w:val="26"/>
          <w:szCs w:val="26"/>
        </w:rPr>
        <w:t xml:space="preserve">  </w:t>
      </w:r>
      <w:r>
        <w:rPr>
          <w:sz w:val="26"/>
          <w:szCs w:val="26"/>
        </w:rPr>
        <w:t>Into Markets Operated by the California</w:t>
      </w:r>
    </w:p>
    <w:p>
      <w:pPr>
        <w:pStyle w:val="Normal"/>
        <w:widowControl/>
        <w:rPr>
          <w:sz w:val="26"/>
          <w:szCs w:val="26"/>
        </w:rPr>
      </w:pPr>
      <w:r>
        <w:rPr>
          <w:sz w:val="26"/>
          <w:szCs w:val="26"/>
        </w:rPr>
        <w:t xml:space="preserve">  </w:t>
      </w:r>
      <w:r>
        <w:rPr>
          <w:sz w:val="26"/>
          <w:szCs w:val="26"/>
        </w:rPr>
        <w:t>Independent System Operator and the</w:t>
      </w:r>
    </w:p>
    <w:p>
      <w:pPr>
        <w:pStyle w:val="Normal"/>
        <w:widowControl/>
        <w:rPr>
          <w:sz w:val="26"/>
          <w:szCs w:val="26"/>
        </w:rPr>
      </w:pPr>
      <w:r>
        <w:rPr>
          <w:sz w:val="26"/>
          <w:szCs w:val="26"/>
        </w:rPr>
        <w:t xml:space="preserve">  </w:t>
      </w:r>
      <w:r>
        <w:rPr>
          <w:sz w:val="26"/>
          <w:szCs w:val="26"/>
        </w:rPr>
        <w:t>California Power Exchange,</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Respondents.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Investigation of Practices of the California</w:t>
      </w:r>
    </w:p>
    <w:p>
      <w:pPr>
        <w:pStyle w:val="Normal"/>
        <w:widowControl/>
        <w:rPr>
          <w:sz w:val="26"/>
          <w:szCs w:val="26"/>
        </w:rPr>
      </w:pPr>
      <w:r>
        <w:rPr>
          <w:sz w:val="26"/>
          <w:szCs w:val="26"/>
        </w:rPr>
        <w:t xml:space="preserve">  </w:t>
      </w:r>
      <w:r>
        <w:rPr>
          <w:sz w:val="26"/>
          <w:szCs w:val="26"/>
        </w:rPr>
        <w:t>Independent System Operator and the                                  Docket No. EL00-98-000</w:t>
      </w:r>
    </w:p>
    <w:p>
      <w:pPr>
        <w:pStyle w:val="Normal"/>
        <w:widowControl/>
        <w:rPr>
          <w:sz w:val="26"/>
          <w:szCs w:val="26"/>
        </w:rPr>
      </w:pPr>
      <w:r>
        <w:rPr>
          <w:sz w:val="26"/>
          <w:szCs w:val="26"/>
        </w:rPr>
        <w:t xml:space="preserve">  </w:t>
      </w:r>
      <w:r>
        <w:rPr>
          <w:sz w:val="26"/>
          <w:szCs w:val="26"/>
        </w:rPr>
        <w:t>California Power Exchange</w:t>
        <w:tab/>
        <w:tab/>
        <w:tab/>
        <w:tab/>
        <w:t xml:space="preserve">        </w:t>
      </w:r>
    </w:p>
    <w:p>
      <w:pPr>
        <w:pStyle w:val="Normal"/>
        <w:widowControl/>
        <w:rPr>
          <w:sz w:val="26"/>
          <w:szCs w:val="26"/>
        </w:rPr>
      </w:pPr>
      <w:r>
        <w:rPr>
          <w:sz w:val="26"/>
          <w:szCs w:val="26"/>
        </w:rPr>
      </w:r>
    </w:p>
    <w:p>
      <w:pPr>
        <w:pStyle w:val="Normal"/>
        <w:widowControl/>
        <w:rPr>
          <w:sz w:val="26"/>
          <w:szCs w:val="26"/>
        </w:rPr>
      </w:pPr>
      <w:r>
        <w:rPr>
          <w:sz w:val="26"/>
          <w:szCs w:val="26"/>
        </w:rPr>
        <w:t>Public Meeting in San Diego, California</w:t>
        <w:tab/>
        <w:tab/>
        <w:tab/>
        <w:t xml:space="preserve">        Docket No. EL00-107-000</w:t>
      </w:r>
    </w:p>
    <w:p>
      <w:pPr>
        <w:pStyle w:val="Normal"/>
        <w:widowControl/>
        <w:rPr>
          <w:sz w:val="26"/>
          <w:szCs w:val="26"/>
        </w:rPr>
      </w:pPr>
      <w:r>
        <w:rPr>
          <w:sz w:val="26"/>
          <w:szCs w:val="26"/>
        </w:rPr>
      </w:r>
    </w:p>
    <w:p>
      <w:pPr>
        <w:pStyle w:val="Normal"/>
        <w:widowControl/>
        <w:rPr>
          <w:sz w:val="26"/>
          <w:szCs w:val="26"/>
        </w:rPr>
      </w:pPr>
      <w:r>
        <w:rPr>
          <w:sz w:val="26"/>
          <w:szCs w:val="26"/>
        </w:rPr>
        <w:t>California Power Exchange Corporation</w:t>
        <w:tab/>
        <w:tab/>
        <w:tab/>
        <w:t xml:space="preserve">        Docket No. ER00-3461-000</w:t>
      </w:r>
    </w:p>
    <w:p>
      <w:pPr>
        <w:pStyle w:val="Normal"/>
        <w:widowControl/>
        <w:rPr>
          <w:sz w:val="26"/>
          <w:szCs w:val="26"/>
        </w:rPr>
      </w:pPr>
      <w:r>
        <w:rPr>
          <w:sz w:val="26"/>
          <w:szCs w:val="26"/>
        </w:rPr>
      </w:r>
    </w:p>
    <w:p>
      <w:pPr>
        <w:pStyle w:val="Normal"/>
        <w:widowControl/>
        <w:rPr>
          <w:sz w:val="26"/>
          <w:szCs w:val="26"/>
        </w:rPr>
      </w:pPr>
      <w:r>
        <w:rPr>
          <w:sz w:val="26"/>
          <w:szCs w:val="26"/>
        </w:rPr>
        <w:t>California Independent System Operator</w:t>
        <w:tab/>
        <w:tab/>
        <w:tab/>
        <w:t xml:space="preserve">        Docket No. ER00-3673-000</w:t>
      </w:r>
    </w:p>
    <w:p>
      <w:pPr>
        <w:pStyle w:val="Normal"/>
        <w:widowControl/>
        <w:rPr>
          <w:sz w:val="26"/>
          <w:szCs w:val="26"/>
        </w:rPr>
      </w:pPr>
      <w:r>
        <w:rPr>
          <w:sz w:val="26"/>
          <w:szCs w:val="26"/>
        </w:rPr>
        <w:t xml:space="preserve"> </w:t>
      </w:r>
      <w:r>
        <w:rPr>
          <w:sz w:val="26"/>
          <w:szCs w:val="26"/>
        </w:rPr>
        <w:t>Corporation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 xml:space="preserve">NOTICE OF AGENDA FOR CONFERENCE </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November 13,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Federal Energy Regulatory Commission (Commission) hereby announces that the agenda for its public conference in San Diego, California, on November 14, 2000, is attached to this notice.   The conference will be held at the San Diego Concourse, The Copper Room, 202 C Street, San Diego, California, commencing at 8:00 a.m. </w:t>
      </w:r>
    </w:p>
    <w:p>
      <w:pPr>
        <w:pStyle w:val="Normal"/>
        <w:widowControl/>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sectPr>
      </w:pPr>
    </w:p>
    <w:p>
      <w:pPr>
        <w:pStyle w:val="Normal"/>
        <w:widowControl/>
        <w:ind w:firstLine="720" w:end="0"/>
        <w:rPr>
          <w:sz w:val="26"/>
          <w:szCs w:val="26"/>
        </w:rPr>
      </w:pPr>
      <w:r>
        <w:rPr>
          <w:sz w:val="26"/>
          <w:szCs w:val="26"/>
        </w:rPr>
        <w:t>In addition, all interested persons are invited to submit written comments on matters addressed at the conference.  These comments should be submitted to the Secretary of the Commission on or before November 22, 2000, in the above-captioned proceedings.  All comments will be placed in the Commission's public files and will be available for inspection or copying in the Commission's Public Reference Room during normal business hours.  Comments are also accessible via the Commission's Records Information Management System (RIMS).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conference will be transcribed.  Information about obtaining transcripts will be provided on the Commission's website, www.ferc.fed.us.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Linwood A. Watson, Jr.</w:t>
      </w:r>
    </w:p>
    <w:p>
      <w:pPr>
        <w:pStyle w:val="Normal"/>
        <w:widowControl/>
        <w:tabs>
          <w:tab w:val="clear" w:pos="720"/>
          <w:tab w:val="center" w:pos="4680" w:leader="none"/>
        </w:tabs>
        <w:rPr>
          <w:sz w:val="26"/>
          <w:szCs w:val="26"/>
        </w:rPr>
      </w:pPr>
      <w:r>
        <w:rPr>
          <w:sz w:val="26"/>
          <w:szCs w:val="26"/>
        </w:rPr>
        <w:tab/>
        <w:t>Acting Secretary</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center" w:pos="4500" w:leader="none"/>
        </w:tabs>
        <w:rPr/>
      </w:pPr>
      <w:r>
        <w:rPr>
          <w:rFonts w:eastAsia="Arial" w:cs="Arial" w:ascii="Arial" w:hAnsi="Arial"/>
        </w:rPr>
        <w:tab/>
      </w:r>
      <w:r>
        <w:rPr>
          <w:rFonts w:eastAsia="Courier New" w:cs="Courier New" w:ascii="Courier New" w:hAnsi="Courier New"/>
          <w:sz w:val="26"/>
          <w:szCs w:val="26"/>
        </w:rPr>
        <w:t>UNITED STATES OF AMERICA</w:t>
      </w:r>
    </w:p>
    <w:p>
      <w:pPr>
        <w:pStyle w:val="Normal"/>
        <w:widowControl/>
        <w:tabs>
          <w:tab w:val="clear" w:pos="720"/>
          <w:tab w:val="center" w:pos="4500" w:leader="none"/>
        </w:tabs>
        <w:rPr>
          <w:rFonts w:ascii="Courier New" w:hAnsi="Courier New" w:eastAsia="Courier New" w:cs="Courier New"/>
          <w:sz w:val="26"/>
          <w:szCs w:val="26"/>
        </w:rPr>
      </w:pPr>
      <w:r>
        <w:rPr>
          <w:rFonts w:eastAsia="Courier New" w:cs="Courier New" w:ascii="Courier New" w:hAnsi="Courier New"/>
          <w:sz w:val="26"/>
          <w:szCs w:val="26"/>
        </w:rPr>
        <w:tab/>
        <w:t>FEDERAL ENERGY REGULATORY COMMISSION</w:t>
      </w:r>
    </w:p>
    <w:p>
      <w:pPr>
        <w:pStyle w:val="Normal"/>
        <w:widowControl/>
        <w:rPr>
          <w:rFonts w:ascii="Courier New" w:hAnsi="Courier New" w:eastAsia="Courier New" w:cs="Courier New"/>
          <w:sz w:val="26"/>
          <w:szCs w:val="26"/>
        </w:rPr>
      </w:pPr>
      <w:r>
        <w:rPr>
          <w:rFonts w:eastAsia="Courier New" w:cs="Courier New" w:ascii="Courier New" w:hAnsi="Courier New"/>
          <w:sz w:val="26"/>
          <w:szCs w:val="26"/>
        </w:rPr>
      </w:r>
    </w:p>
    <w:p>
      <w:pPr>
        <w:pStyle w:val="Normal"/>
        <w:widowControl/>
        <w:ind w:start="2880" w:end="0"/>
        <w:rPr>
          <w:rFonts w:ascii="Courier New" w:hAnsi="Courier New" w:eastAsia="Courier New" w:cs="Courier New"/>
          <w:sz w:val="26"/>
          <w:szCs w:val="26"/>
        </w:rPr>
      </w:pPr>
      <w:r>
        <w:rPr>
          <w:rFonts w:eastAsia="Courier New" w:cs="Courier New" w:ascii="Courier New" w:hAnsi="Courier New"/>
          <w:sz w:val="26"/>
          <w:szCs w:val="26"/>
        </w:rPr>
        <w:t>Docket No. EL00-95-000</w:t>
      </w:r>
    </w:p>
    <w:p>
      <w:pPr>
        <w:pStyle w:val="Normal"/>
        <w:widowControl/>
        <w:ind w:start="2880" w:end="0"/>
        <w:rPr>
          <w:rFonts w:ascii="Courier New" w:hAnsi="Courier New" w:eastAsia="Courier New" w:cs="Courier New"/>
          <w:sz w:val="26"/>
          <w:szCs w:val="26"/>
        </w:rPr>
      </w:pPr>
      <w:r>
        <w:rPr>
          <w:rFonts w:eastAsia="Courier New" w:cs="Courier New" w:ascii="Courier New" w:hAnsi="Courier New"/>
          <w:sz w:val="26"/>
          <w:szCs w:val="26"/>
        </w:rPr>
        <w:t>Docket No. EL00-98-000</w:t>
      </w:r>
    </w:p>
    <w:p>
      <w:pPr>
        <w:pStyle w:val="Normal"/>
        <w:widowControl/>
        <w:ind w:start="2880" w:end="0"/>
        <w:rPr>
          <w:rFonts w:ascii="Courier New" w:hAnsi="Courier New" w:eastAsia="Courier New" w:cs="Courier New"/>
          <w:sz w:val="26"/>
          <w:szCs w:val="26"/>
        </w:rPr>
      </w:pPr>
      <w:r>
        <w:rPr>
          <w:rFonts w:eastAsia="Courier New" w:cs="Courier New" w:ascii="Courier New" w:hAnsi="Courier New"/>
          <w:sz w:val="26"/>
          <w:szCs w:val="26"/>
        </w:rPr>
        <w:t>Docket No. EL00-107-000</w:t>
      </w:r>
    </w:p>
    <w:p>
      <w:pPr>
        <w:pStyle w:val="Normal"/>
        <w:widowControl/>
        <w:ind w:start="2880" w:end="0"/>
        <w:rPr>
          <w:rFonts w:ascii="Courier New" w:hAnsi="Courier New" w:eastAsia="Courier New" w:cs="Courier New"/>
          <w:sz w:val="26"/>
          <w:szCs w:val="26"/>
        </w:rPr>
      </w:pPr>
      <w:r>
        <w:rPr>
          <w:rFonts w:eastAsia="Courier New" w:cs="Courier New" w:ascii="Courier New" w:hAnsi="Courier New"/>
          <w:sz w:val="26"/>
          <w:szCs w:val="26"/>
        </w:rPr>
        <w:t>Docket No. ER00-3461-000</w:t>
      </w:r>
    </w:p>
    <w:p>
      <w:pPr>
        <w:pStyle w:val="Normal"/>
        <w:widowControl/>
        <w:ind w:start="2880" w:end="0"/>
        <w:rPr>
          <w:rFonts w:ascii="Courier New" w:hAnsi="Courier New" w:eastAsia="Courier New" w:cs="Courier New"/>
          <w:sz w:val="26"/>
          <w:szCs w:val="26"/>
        </w:rPr>
      </w:pPr>
      <w:r>
        <w:rPr>
          <w:rFonts w:eastAsia="Courier New" w:cs="Courier New" w:ascii="Courier New" w:hAnsi="Courier New"/>
          <w:sz w:val="26"/>
          <w:szCs w:val="26"/>
        </w:rPr>
        <w:t>Docket No. ER00-3673-000</w:t>
      </w:r>
    </w:p>
    <w:p>
      <w:pPr>
        <w:pStyle w:val="Normal"/>
        <w:widowControl/>
        <w:rPr>
          <w:rFonts w:ascii="Courier New" w:hAnsi="Courier New" w:eastAsia="Courier New" w:cs="Courier New"/>
          <w:sz w:val="26"/>
          <w:szCs w:val="26"/>
        </w:rPr>
      </w:pPr>
      <w:r>
        <w:rPr>
          <w:rFonts w:eastAsia="Courier New" w:cs="Courier New" w:ascii="Courier New" w:hAnsi="Courier New"/>
          <w:sz w:val="26"/>
          <w:szCs w:val="26"/>
        </w:rPr>
      </w:r>
    </w:p>
    <w:p>
      <w:pPr>
        <w:pStyle w:val="Normal"/>
        <w:widowControl/>
        <w:rPr>
          <w:rFonts w:ascii="Courier New" w:hAnsi="Courier New" w:eastAsia="Courier New" w:cs="Courier New"/>
          <w:sz w:val="26"/>
          <w:szCs w:val="26"/>
        </w:rPr>
      </w:pPr>
      <w:r>
        <w:rPr>
          <w:rFonts w:eastAsia="Courier New" w:cs="Courier New" w:ascii="Courier New" w:hAnsi="Courier New"/>
          <w:sz w:val="26"/>
          <w:szCs w:val="26"/>
        </w:rPr>
      </w:r>
    </w:p>
    <w:p>
      <w:pPr>
        <w:pStyle w:val="Normal"/>
        <w:widowControl/>
        <w:tabs>
          <w:tab w:val="clear" w:pos="720"/>
          <w:tab w:val="center" w:pos="4500" w:leader="none"/>
        </w:tabs>
        <w:spacing w:before="0" w:after="240"/>
        <w:rPr>
          <w:rFonts w:ascii="Courier New" w:hAnsi="Courier New" w:eastAsia="Courier New" w:cs="Courier New"/>
          <w:sz w:val="26"/>
          <w:szCs w:val="26"/>
        </w:rPr>
      </w:pPr>
      <w:r>
        <w:rPr>
          <w:rFonts w:eastAsia="Courier New" w:cs="Courier New" w:ascii="Courier New" w:hAnsi="Courier New"/>
          <w:sz w:val="26"/>
          <w:szCs w:val="26"/>
        </w:rPr>
        <w:tab/>
        <w:t>Draft Agenda for Public Conference</w:t>
      </w:r>
    </w:p>
    <w:p>
      <w:pPr>
        <w:pStyle w:val="Normal"/>
        <w:widowControl/>
        <w:tabs>
          <w:tab w:val="clear" w:pos="720"/>
          <w:tab w:val="center" w:pos="4500" w:leader="none"/>
        </w:tabs>
        <w:spacing w:before="0" w:after="99"/>
        <w:rPr>
          <w:rFonts w:ascii="Courier New" w:hAnsi="Courier New" w:eastAsia="Courier New" w:cs="Courier New"/>
          <w:sz w:val="26"/>
          <w:szCs w:val="26"/>
        </w:rPr>
      </w:pPr>
      <w:r>
        <w:rPr>
          <w:rFonts w:eastAsia="Courier New" w:cs="Courier New" w:ascii="Courier New" w:hAnsi="Courier New"/>
          <w:sz w:val="26"/>
          <w:szCs w:val="26"/>
        </w:rPr>
        <w:tab/>
        <w:t>November 14, 2000</w:t>
      </w:r>
    </w:p>
    <w:p>
      <w:pPr>
        <w:pStyle w:val="Normal"/>
        <w:widowControl/>
        <w:rPr>
          <w:rFonts w:ascii="Courier New" w:hAnsi="Courier New" w:eastAsia="Courier New" w:cs="Courier New"/>
          <w:sz w:val="26"/>
          <w:szCs w:val="26"/>
        </w:rPr>
      </w:pPr>
      <w:r>
        <w:rPr>
          <w:rFonts w:eastAsia="Courier New" w:cs="Courier New" w:ascii="Courier New" w:hAnsi="Courier New"/>
          <w:sz w:val="26"/>
          <w:szCs w:val="26"/>
        </w:rPr>
      </w:r>
    </w:p>
    <w:p>
      <w:pPr>
        <w:pStyle w:val="Normal"/>
        <w:widowControl/>
        <w:tabs>
          <w:tab w:val="clear" w:pos="720"/>
          <w:tab w:val="center" w:pos="4500" w:leader="none"/>
        </w:tabs>
        <w:rPr>
          <w:rFonts w:ascii="Courier New" w:hAnsi="Courier New" w:eastAsia="Courier New" w:cs="Courier New"/>
          <w:sz w:val="26"/>
          <w:szCs w:val="26"/>
        </w:rPr>
      </w:pPr>
      <w:r>
        <w:rPr>
          <w:rFonts w:eastAsia="Courier New" w:cs="Courier New" w:ascii="Courier New" w:hAnsi="Courier New"/>
          <w:sz w:val="26"/>
          <w:szCs w:val="26"/>
        </w:rPr>
        <w:tab/>
        <w:t>The San Diego Concourse, the Copper Room</w:t>
      </w:r>
    </w:p>
    <w:p>
      <w:pPr>
        <w:pStyle w:val="Normal"/>
        <w:widowControl/>
        <w:tabs>
          <w:tab w:val="clear" w:pos="720"/>
          <w:tab w:val="center" w:pos="4500" w:leader="none"/>
        </w:tabs>
        <w:rPr>
          <w:rFonts w:ascii="Courier New" w:hAnsi="Courier New" w:eastAsia="Courier New" w:cs="Courier New"/>
          <w:sz w:val="26"/>
          <w:szCs w:val="26"/>
        </w:rPr>
      </w:pPr>
      <w:r>
        <w:rPr>
          <w:rFonts w:eastAsia="Courier New" w:cs="Courier New" w:ascii="Courier New" w:hAnsi="Courier New"/>
          <w:sz w:val="26"/>
          <w:szCs w:val="26"/>
        </w:rPr>
        <w:tab/>
        <w:t>202 C Street</w:t>
      </w:r>
    </w:p>
    <w:p>
      <w:pPr>
        <w:pStyle w:val="Normal"/>
        <w:widowControl/>
        <w:tabs>
          <w:tab w:val="clear" w:pos="720"/>
          <w:tab w:val="center" w:pos="4500" w:leader="none"/>
        </w:tabs>
        <w:rPr>
          <w:rFonts w:ascii="Courier New" w:hAnsi="Courier New" w:eastAsia="Courier New" w:cs="Courier New"/>
          <w:sz w:val="26"/>
          <w:szCs w:val="26"/>
        </w:rPr>
      </w:pPr>
      <w:r>
        <w:rPr>
          <w:rFonts w:eastAsia="Courier New" w:cs="Courier New" w:ascii="Courier New" w:hAnsi="Courier New"/>
          <w:sz w:val="26"/>
          <w:szCs w:val="26"/>
        </w:rPr>
        <w:tab/>
        <w:t>San Diego, California</w:t>
      </w:r>
    </w:p>
    <w:p>
      <w:pPr>
        <w:pStyle w:val="Normal"/>
        <w:widowControl/>
        <w:rPr>
          <w:rFonts w:ascii="Courier New" w:hAnsi="Courier New" w:eastAsia="Courier New" w:cs="Courier New"/>
          <w:sz w:val="26"/>
          <w:szCs w:val="26"/>
        </w:rPr>
      </w:pPr>
      <w:r>
        <w:rPr>
          <w:rFonts w:eastAsia="Courier New" w:cs="Courier New" w:ascii="Courier New" w:hAnsi="Courier New"/>
          <w:sz w:val="26"/>
          <w:szCs w:val="26"/>
        </w:rPr>
      </w:r>
    </w:p>
    <w:p>
      <w:pPr>
        <w:pStyle w:val="Normal"/>
        <w:widowControl/>
        <w:rPr>
          <w:rFonts w:ascii="Courier New" w:hAnsi="Courier New" w:eastAsia="Courier New" w:cs="Courier New"/>
          <w:sz w:val="26"/>
          <w:szCs w:val="26"/>
        </w:rPr>
      </w:pPr>
      <w:r>
        <w:rPr>
          <w:rFonts w:eastAsia="Courier New" w:cs="Courier New" w:ascii="Courier New" w:hAnsi="Courier New"/>
          <w:sz w:val="26"/>
          <w:szCs w:val="26"/>
        </w:rPr>
      </w:r>
    </w:p>
    <w:p>
      <w:pPr>
        <w:pStyle w:val="Normal"/>
        <w:widowControl/>
        <w:rPr>
          <w:rFonts w:ascii="Courier New" w:hAnsi="Courier New" w:eastAsia="Courier New" w:cs="Courier New"/>
          <w:sz w:val="26"/>
          <w:szCs w:val="26"/>
        </w:rPr>
      </w:pPr>
      <w:r>
        <w:rPr>
          <w:rFonts w:eastAsia="Courier New" w:cs="Courier New" w:ascii="Courier New" w:hAnsi="Courier New"/>
          <w:b/>
          <w:bCs/>
          <w:sz w:val="26"/>
          <w:szCs w:val="26"/>
        </w:rPr>
        <w:t>8:00-8:10 a.m. Opening Remarks-</w:t>
      </w:r>
      <w:r>
        <w:rPr>
          <w:rFonts w:eastAsia="Courier New" w:cs="Courier New" w:ascii="Courier New" w:hAnsi="Courier New"/>
          <w:sz w:val="26"/>
          <w:szCs w:val="26"/>
        </w:rPr>
        <w:t xml:space="preserve"> </w:t>
      </w:r>
      <w:r>
        <w:rPr>
          <w:rFonts w:eastAsia="Courier New" w:cs="Courier New" w:ascii="Courier New" w:hAnsi="Courier New"/>
          <w:b/>
          <w:bCs/>
          <w:sz w:val="26"/>
          <w:szCs w:val="26"/>
        </w:rPr>
        <w:t>Chairman James Hoecker</w:t>
      </w:r>
    </w:p>
    <w:p>
      <w:pPr>
        <w:pStyle w:val="Normal"/>
        <w:widowControl/>
        <w:rPr>
          <w:rFonts w:ascii="Courier New" w:hAnsi="Courier New" w:eastAsia="Courier New" w:cs="Courier New"/>
          <w:sz w:val="26"/>
          <w:szCs w:val="26"/>
        </w:rPr>
      </w:pPr>
      <w:r>
        <w:rPr>
          <w:rFonts w:eastAsia="Courier New" w:cs="Courier New" w:ascii="Courier New" w:hAnsi="Courier New"/>
          <w:sz w:val="26"/>
          <w:szCs w:val="26"/>
        </w:rPr>
      </w:r>
    </w:p>
    <w:p>
      <w:pPr>
        <w:pStyle w:val="Normal"/>
        <w:widowControl/>
        <w:rPr>
          <w:rFonts w:ascii="Courier New" w:hAnsi="Courier New" w:eastAsia="Courier New" w:cs="Courier New"/>
          <w:b/>
          <w:bCs/>
          <w:sz w:val="26"/>
          <w:szCs w:val="26"/>
        </w:rPr>
      </w:pPr>
      <w:r>
        <w:rPr>
          <w:rFonts w:eastAsia="Courier New" w:cs="Courier New" w:ascii="Courier New" w:hAnsi="Courier New"/>
          <w:b/>
          <w:bCs/>
          <w:sz w:val="26"/>
          <w:szCs w:val="26"/>
        </w:rPr>
      </w:r>
    </w:p>
    <w:p>
      <w:pPr>
        <w:pStyle w:val="Normal"/>
        <w:widowControl/>
        <w:tabs>
          <w:tab w:val="clear" w:pos="720"/>
          <w:tab w:val="left" w:pos="-1440" w:leader="none"/>
        </w:tabs>
        <w:ind w:hanging="2880" w:start="2880" w:end="0"/>
        <w:rPr>
          <w:rFonts w:ascii="Courier New" w:hAnsi="Courier New" w:eastAsia="Courier New" w:cs="Courier New"/>
          <w:sz w:val="26"/>
          <w:szCs w:val="26"/>
        </w:rPr>
      </w:pPr>
      <w:r>
        <w:rPr>
          <w:rFonts w:eastAsia="Courier New" w:cs="Courier New" w:ascii="Courier New" w:hAnsi="Courier New"/>
          <w:b/>
          <w:bCs/>
          <w:sz w:val="26"/>
          <w:szCs w:val="26"/>
        </w:rPr>
        <w:t>8:10-9:30 a.m.</w:t>
      </w:r>
      <w:r>
        <w:rPr>
          <w:rFonts w:eastAsia="Courier New" w:cs="Courier New" w:ascii="Courier New" w:hAnsi="Courier New"/>
          <w:sz w:val="26"/>
          <w:szCs w:val="26"/>
        </w:rPr>
        <w:t xml:space="preserve"> </w:t>
      </w:r>
      <w:r>
        <w:rPr>
          <w:rFonts w:eastAsia="Courier New" w:cs="Courier New" w:ascii="Courier New" w:hAnsi="Courier New"/>
          <w:b/>
          <w:bCs/>
          <w:sz w:val="26"/>
          <w:szCs w:val="26"/>
        </w:rPr>
        <w:tab/>
        <w:t>PANEL OF GOVERNMENT OFFICIALS</w:t>
      </w:r>
    </w:p>
    <w:p>
      <w:pPr>
        <w:pStyle w:val="Normal"/>
        <w:widowControl/>
        <w:tabs>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rFonts w:ascii="Courier New" w:hAnsi="Courier New" w:eastAsia="Courier New" w:cs="Courier New"/>
          <w:sz w:val="26"/>
          <w:szCs w:val="26"/>
        </w:rPr>
      </w:pPr>
      <w:r>
        <w:rPr>
          <w:rFonts w:eastAsia="Courier New" w:cs="Courier New" w:ascii="Courier New" w:hAnsi="Courier New"/>
          <w:sz w:val="26"/>
          <w:szCs w:val="26"/>
        </w:rPr>
      </w:r>
    </w:p>
    <w:p>
      <w:pPr>
        <w:pStyle w:val="Normal"/>
        <w:widowControl/>
        <w:tabs>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ourier New" w:hAnsi="Courier New" w:eastAsia="Courier New" w:cs="Courier New"/>
          <w:sz w:val="26"/>
          <w:szCs w:val="26"/>
        </w:rPr>
      </w:pPr>
      <w:r>
        <w:rPr>
          <w:rFonts w:eastAsia="Courier New" w:cs="Courier New" w:ascii="Courier New" w:hAnsi="Courier New"/>
          <w:sz w:val="26"/>
          <w:szCs w:val="26"/>
        </w:rPr>
        <w:t>The Honorable Bob Filner, U.S. Congressman</w:t>
      </w:r>
    </w:p>
    <w:p>
      <w:pPr>
        <w:pStyle w:val="Normal"/>
        <w:widowControl/>
        <w:tabs>
          <w:tab w:val="left" w:pos="0" w:leader="none"/>
          <w:tab w:val="left" w:pos="720" w:leader="none"/>
          <w:tab w:val="left" w:pos="1440" w:leader="none"/>
          <w:tab w:val="left" w:pos="16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Matthew Kagan, Staff representative for Senator Barbara Boxer, Staff representative for Congressman Duncan Hunter</w:t>
      </w:r>
    </w:p>
    <w:p>
      <w:pPr>
        <w:pStyle w:val="Normal"/>
        <w:widowControl/>
        <w:tabs>
          <w:tab w:val="left" w:pos="0" w:leader="none"/>
          <w:tab w:val="left" w:pos="720" w:leader="none"/>
          <w:tab w:val="left" w:pos="1440" w:leader="none"/>
          <w:tab w:val="left" w:pos="16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Steve Pease, California Senate</w:t>
      </w:r>
    </w:p>
    <w:p>
      <w:pPr>
        <w:pStyle w:val="Normal"/>
        <w:widowControl/>
        <w:tabs>
          <w:tab w:val="left" w:pos="0" w:leader="none"/>
          <w:tab w:val="left" w:pos="720" w:leader="none"/>
          <w:tab w:val="left" w:pos="1440" w:leader="none"/>
          <w:tab w:val="left" w:pos="16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Katie Keach, Field representative for Assemblywoman Congresswoman-Elect Susan Davis</w:t>
      </w:r>
    </w:p>
    <w:p>
      <w:pPr>
        <w:pStyle w:val="Normal"/>
        <w:widowControl/>
        <w:tabs>
          <w:tab w:val="left" w:pos="0" w:leader="none"/>
          <w:tab w:val="left" w:pos="720" w:leader="none"/>
          <w:tab w:val="left" w:pos="1440" w:leader="none"/>
          <w:tab w:val="left" w:pos="1620" w:leader="none"/>
          <w:tab w:val="left" w:pos="1710" w:leader="none"/>
          <w:tab w:val="left" w:pos="19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The Honorable Dianne Jacob, Chairwoman, the San Diego County Board of Supervisors</w:t>
      </w:r>
    </w:p>
    <w:p>
      <w:pPr>
        <w:pStyle w:val="Normal"/>
        <w:widowControl/>
        <w:tabs>
          <w:tab w:val="left" w:pos="0" w:leader="none"/>
          <w:tab w:val="left" w:pos="720" w:leader="none"/>
          <w:tab w:val="left" w:pos="1440" w:leader="none"/>
          <w:tab w:val="left" w:pos="1620" w:leader="none"/>
          <w:tab w:val="left" w:pos="1710" w:leader="none"/>
          <w:tab w:val="left" w:pos="19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The Honorable George Stevens, Councilman, City of San Diego</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The Honorable Lori Holt Pfeiler, Mayor of Escondido</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Willie M. Gaters, Environmental Resource Manager, the City of Chula Vista</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rPr>
          <w:rStyle w:val="BodyText2"/>
          <w:rFonts w:ascii="Courier New" w:hAnsi="Courier New" w:eastAsia="Courier New" w:cs="Courier New"/>
        </w:rPr>
      </w:pPr>
      <w:r>
        <w:rPr>
          <w:rStyle w:val="BodyText2"/>
          <w:rFonts w:eastAsia="Courier New" w:cs="Courier New" w:ascii="Courier New" w:hAnsi="Courier New"/>
          <w:b/>
          <w:bCs/>
        </w:rPr>
        <w:t>9:30–11:30 a.m.</w:t>
        <w:tab/>
        <w:t>Individual Speakers</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Group I</w:t>
        <w:tab/>
        <w:tab/>
        <w:tab/>
        <w:tab/>
        <w:tab/>
      </w:r>
      <w:r>
        <w:rPr>
          <w:rStyle w:val="BodyText2"/>
          <w:rFonts w:eastAsia="Courier New" w:cs="Courier New" w:ascii="Courier New" w:hAnsi="Courier New"/>
          <w:b/>
          <w:bCs/>
        </w:rPr>
        <w:t>Business Consumers- A</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b/>
          <w:bCs/>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Carolyn M. Kehrein, Energy Users Forum</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Warren Savage, Executive Director, Santee Chamber of Commerce</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David Ish, CAE, Chief Executive Officer of the Escondido Chamber of Commerce</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David Leiber, President, the Borrego Springs Chamber of Commerce</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Warren J. Simon, Executive Director, the Hillcrest Business Association</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Stephen A. Zolezzi, Executive VP, the Food and Beverage Association</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Steven C. McClary, Principle, MRW &amp; Associates, Inc.</w:t>
      </w:r>
    </w:p>
    <w:p>
      <w:pPr>
        <w:sectPr>
          <w:headerReference w:type="default" r:id="rId2"/>
          <w:type w:val="nextPage"/>
          <w:pgSz w:w="12240" w:h="15840"/>
          <w:pgMar w:left="1800" w:right="1440" w:gutter="0" w:header="1440" w:top="1496" w:footer="0" w:bottom="1440"/>
          <w:pgNumType w:fmt="decimal"/>
          <w:formProt w:val="false"/>
          <w:textDirection w:val="lrTb"/>
        </w:sect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0"/>
        <w:jc w:val="both"/>
        <w:rPr/>
      </w:pPr>
      <w:r>
        <w:rPr>
          <w:rStyle w:val="BodyText2"/>
          <w:rFonts w:eastAsia="Courier New" w:cs="Courier New" w:ascii="Courier New" w:hAnsi="Courier New"/>
          <w:b/>
          <w:bCs/>
        </w:rPr>
        <w:t>Business Consumers- B</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b/>
          <w:bCs/>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Representative from Sempra Energy</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Ron Shimizu, Mieco, Inc.</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John Wiederkeher, President, Certified Metal Craft, Inc.</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Pat Leyden, VP, Facilities &amp; Support Service, the Children’s Hospital and Health Center</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Bruce Simonton, General Manager, UniquePatents.com</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Dan Cumming, American Metal Processing, Inc.</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John Morse, Qualcomm, Inc.</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Carl E. Hoffman, Director of Facilities, Tri-State Medical Center</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b/>
          <w:bCs/>
        </w:rPr>
        <w:t>Group II</w:t>
      </w:r>
      <w:r>
        <w:rPr>
          <w:rStyle w:val="BodyText2"/>
          <w:rFonts w:eastAsia="Courier New" w:cs="Courier New" w:ascii="Courier New" w:hAnsi="Courier New"/>
        </w:rPr>
        <w:tab/>
        <w:tab/>
        <w:tab/>
        <w:tab/>
      </w:r>
      <w:r>
        <w:rPr>
          <w:rStyle w:val="BodyText2"/>
          <w:rFonts w:eastAsia="Courier New" w:cs="Courier New" w:ascii="Courier New" w:hAnsi="Courier New"/>
          <w:b/>
          <w:bCs/>
        </w:rPr>
        <w:t>Consumers and Public Interest Groups</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b/>
          <w:bCs/>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Carol J. Voolker, Chair, Health &amp; Long-term Care, Subcommittee of the American Association of Retired People</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V. John White, Executive Director, CEERT</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Massie R. Holland, II</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Al Tschaeche</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Freddia Wright</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Thomas J. Wolf</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Joe Sheetz</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Gary L. Vyne</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David Tynan</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Michael Gorfain</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Style w:val="BodyText2"/>
          <w:rFonts w:ascii="Courier New" w:hAnsi="Courier New" w:eastAsia="Courier New" w:cs="Courier New"/>
          <w:b/>
          <w:bCs/>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rPr>
      </w:pPr>
      <w:r>
        <w:rPr>
          <w:rStyle w:val="BodyText2"/>
          <w:rFonts w:eastAsia="Courier New" w:cs="Courier New" w:ascii="Courier New" w:hAnsi="Courier New"/>
          <w:b/>
          <w:bCs/>
        </w:rPr>
        <w:t>11:30a.m.-Noon</w:t>
        <w:tab/>
        <w:tab/>
        <w:t>Panel of State Government Officials</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BodyText2"/>
          <w:rFonts w:ascii="Courier New" w:hAnsi="Courier New" w:eastAsia="Courier New" w:cs="Courier New"/>
        </w:rPr>
      </w:pPr>
      <w:r>
        <w:rPr/>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The Honorable Gray Davis, Governor of California</w:t>
      </w:r>
    </w:p>
    <w:p>
      <w:pPr>
        <w:pStyle w:val="Normal"/>
        <w:widowControl/>
        <w:tabs>
          <w:tab w:val="left" w:pos="0" w:leader="none"/>
          <w:tab w:val="left" w:pos="720" w:leader="none"/>
          <w:tab w:val="left" w:pos="1440" w:leader="none"/>
          <w:tab w:val="left" w:pos="16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BodyText2"/>
          <w:rFonts w:eastAsia="Courier New" w:cs="Courier New" w:ascii="Courier New" w:hAnsi="Courier New"/>
        </w:rPr>
        <w:t>Loretta Lynch, President, the California Public Utility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eastAsia="Courier New" w:cs="Courier New" w:ascii="Courier New" w:hAnsi="Courier New"/>
        </w:rPr>
        <w:t>Michael Kahn, Chair, the California Electricity Oversite Board and the Governor's Clean Energy Green Team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ourier New" w:hAnsi="Courier New" w:eastAsia="Courier New" w:cs="Courier New"/>
        </w:rPr>
      </w:pPr>
      <w:r>
        <w:rPr>
          <w:rFonts w:eastAsia="Courier New" w:cs="Courier New" w:ascii="Courier New" w:hAnsi="Courier New"/>
        </w:rPr>
        <w:t>William Keese, Chair, the California Energy Commission</w:t>
      </w:r>
    </w:p>
    <w:sectPr>
      <w:headerReference w:type="default" r:id="rId3"/>
      <w:headerReference w:type="first" r:id="rId4"/>
      <w:type w:val="nextPage"/>
      <w:pgSz w:w="12240" w:h="15840"/>
      <w:pgMar w:left="1800" w:right="1440" w:gutter="0" w:header="1440" w:top="1496"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Courier New">
    <w:charset w:val="01"/>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BodyText2">
    <w:name w:val="Body Text 2"/>
    <w:qFormat/>
    <w:rPr>
      <w:rFonts w:ascii="Arial" w:hAnsi="Arial" w:eastAsia="Arial" w:cs="Arial"/>
      <w:sz w:val="26"/>
      <w:szCs w:val="2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2000-11-13T18:24:00Z</dcterms:created>
  <dc:creator>Arter &amp; Hadden</dc:creator>
  <dc:description/>
  <dc:language>en-CA</dc:language>
  <cp:lastModifiedBy>Arter &amp; Hadden</cp:lastModifiedBy>
  <dcterms:modified xsi:type="dcterms:W3CDTF">2000-11-13T18:24:00Z</dcterms:modified>
  <cp:revision>2</cp:revision>
  <dc:subject/>
  <dc:title>UNITED STATES OF AMERICA</dc:title>
</cp:coreProperties>
</file>