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media/image1.jpeg" ContentType="image/jpeg"/>
  <Override PartName="/word/media/image2.png" ContentType="image/png"/>
  <Override PartName="/word/embeddings/oleObject1.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drawing>
          <wp:inline distT="0" distB="0" distL="0" distR="0">
            <wp:extent cx="2108200" cy="1663700"/>
            <wp:effectExtent l="0" t="0" r="0" b="0"/>
            <wp:docPr id="1" name="latinsummitlogo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tinsummitlogo2" descr="" title=""/>
                    <pic:cNvPicPr>
                      <a:picLocks noChangeAspect="1" noChangeArrowheads="1"/>
                    </pic:cNvPicPr>
                  </pic:nvPicPr>
                  <pic:blipFill>
                    <a:blip r:embed="rId2"/>
                    <a:srcRect l="-17" t="-22" r="-17" b="-22"/>
                    <a:stretch>
                      <a:fillRect/>
                    </a:stretch>
                  </pic:blipFill>
                  <pic:spPr bwMode="auto">
                    <a:xfrm>
                      <a:off x="0" y="0"/>
                      <a:ext cx="2108200" cy="1663700"/>
                    </a:xfrm>
                    <a:prstGeom prst="rect">
                      <a:avLst/>
                    </a:prstGeom>
                    <a:noFill/>
                  </pic:spPr>
                </pic:pic>
              </a:graphicData>
            </a:graphic>
          </wp:inline>
        </w:drawing>
      </w:r>
    </w:p>
    <w:p>
      <w:pPr>
        <w:pStyle w:val="Normal"/>
        <w:rPr/>
      </w:pPr>
      <w:r>
        <w:rPr/>
      </w:r>
    </w:p>
    <w:p>
      <w:pPr>
        <w:pStyle w:val="Heading9"/>
        <w:ind w:hanging="0" w:start="0"/>
        <w:jc w:val="center"/>
        <w:rPr>
          <w:b/>
          <w:sz w:val="24"/>
        </w:rPr>
      </w:pPr>
      <w:r>
        <w:rPr>
          <w:b/>
          <w:sz w:val="24"/>
        </w:rPr>
        <w:t>The Premier Conference on Investing in the Americas</w:t>
      </w:r>
    </w:p>
    <w:p>
      <w:pPr>
        <w:pStyle w:val="Heading9"/>
        <w:ind w:hanging="0" w:start="0"/>
        <w:jc w:val="center"/>
        <w:rPr>
          <w:b/>
          <w:sz w:val="24"/>
        </w:rPr>
      </w:pPr>
      <w:r>
        <w:rPr>
          <w:b/>
          <w:sz w:val="24"/>
        </w:rPr>
        <w:t>Presented during the 2001 Annual Meetings of the World Bank Group and the</w:t>
      </w:r>
    </w:p>
    <w:p>
      <w:pPr>
        <w:pStyle w:val="Heading9"/>
        <w:ind w:hanging="0" w:start="0"/>
        <w:jc w:val="center"/>
        <w:rPr>
          <w:sz w:val="20"/>
        </w:rPr>
      </w:pPr>
      <w:r>
        <w:rPr>
          <w:b/>
          <w:sz w:val="24"/>
        </w:rPr>
        <w:t>International Monetary Fund</w:t>
      </w:r>
    </w:p>
    <w:p>
      <w:pPr>
        <w:pStyle w:val="Heading6"/>
        <w:ind w:hanging="0" w:start="0"/>
        <w:rPr>
          <w:i/>
          <w:i/>
          <w:sz w:val="20"/>
        </w:rPr>
      </w:pPr>
      <w:r>
        <w:rPr>
          <w:i/>
          <w:sz w:val="20"/>
        </w:rPr>
        <w:t>October 1-3, 2001 at the Omni Shoreham Hotel – Washington DC</w:t>
      </w:r>
    </w:p>
    <w:p>
      <w:pPr>
        <w:pStyle w:val="Normal"/>
        <w:rPr>
          <w:i/>
          <w:i/>
          <w:sz w:val="20"/>
        </w:rPr>
      </w:pPr>
      <w:r>
        <w:rPr>
          <w:i/>
          <w:sz w:val="20"/>
        </w:rPr>
      </w:r>
    </w:p>
    <w:p>
      <w:pPr>
        <w:pStyle w:val="Normal"/>
        <w:jc w:val="center"/>
        <w:rPr>
          <w:rFonts w:ascii="Arial" w:hAnsi="Arial" w:cs="Arial"/>
          <w:b/>
          <w:sz w:val="24"/>
        </w:rPr>
      </w:pPr>
      <w:r>
        <w:rPr>
          <w:rFonts w:cs="Arial" w:ascii="Arial" w:hAnsi="Arial"/>
          <w:b/>
          <w:sz w:val="24"/>
        </w:rPr>
        <w:t>PRELIMINARY AGENDA</w:t>
      </w:r>
    </w:p>
    <w:p>
      <w:pPr>
        <w:pStyle w:val="Normal"/>
        <w:rPr>
          <w:rFonts w:ascii="Arial" w:hAnsi="Arial" w:cs="Arial"/>
          <w:b/>
          <w:i/>
          <w:i/>
          <w:sz w:val="24"/>
        </w:rPr>
      </w:pPr>
      <w:r>
        <w:rPr>
          <w:rFonts w:cs="Arial" w:ascii="Arial" w:hAnsi="Arial"/>
          <w:b/>
          <w:i/>
          <w:sz w:val="24"/>
        </w:rPr>
      </w:r>
    </w:p>
    <w:p>
      <w:pPr>
        <w:sectPr>
          <w:footerReference w:type="default" r:id="rId3"/>
          <w:type w:val="nextPage"/>
          <w:pgSz w:w="12240" w:h="15840"/>
          <w:pgMar w:left="1008" w:right="1008" w:gutter="0" w:header="0" w:top="720" w:footer="390" w:bottom="446"/>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0"/>
        </w:sectPr>
      </w:pPr>
    </w:p>
    <w:tbl>
      <w:tblPr>
        <w:tblW w:w="10350" w:type="dxa"/>
        <w:jc w:val="start"/>
        <w:tblInd w:w="108" w:type="dxa"/>
        <w:tblLayout w:type="fixed"/>
        <w:tblCellMar>
          <w:top w:w="0" w:type="dxa"/>
          <w:start w:w="108" w:type="dxa"/>
          <w:bottom w:w="0" w:type="dxa"/>
          <w:end w:w="108" w:type="dxa"/>
        </w:tblCellMar>
      </w:tblPr>
      <w:tblGrid>
        <w:gridCol w:w="1800"/>
        <w:gridCol w:w="8550"/>
      </w:tblGrid>
      <w:tr>
        <w:trPr>
          <w:trHeight w:val="504" w:hRule="atLeast"/>
        </w:trPr>
        <w:tc>
          <w:tcPr>
            <w:tcW w:w="10350" w:type="dxa"/>
            <w:gridSpan w:val="2"/>
            <w:tcBorders>
              <w:top w:val="single" w:sz="6" w:space="0" w:color="000000"/>
              <w:start w:val="single" w:sz="6" w:space="0" w:color="000000"/>
              <w:end w:val="single" w:sz="6" w:space="0" w:color="000000"/>
            </w:tcBorders>
            <w:shd w:fill="FFFFFF" w:val="clear"/>
          </w:tcPr>
          <w:p>
            <w:pPr>
              <w:pStyle w:val="Heading4"/>
              <w:spacing w:before="120" w:after="120"/>
              <w:ind w:hanging="0" w:start="0"/>
              <w:jc w:val="center"/>
              <w:rPr>
                <w:rFonts w:ascii="Arial" w:hAnsi="Arial" w:cs="Arial"/>
                <w:sz w:val="20"/>
              </w:rPr>
            </w:pPr>
            <w:r>
              <w:rPr>
                <w:rFonts w:cs="Arial" w:ascii="Arial" w:hAnsi="Arial"/>
                <w:sz w:val="20"/>
              </w:rPr>
              <w:t>Day One</w:t>
            </w:r>
          </w:p>
        </w:tc>
      </w:tr>
      <w:tr>
        <w:trPr>
          <w:trHeight w:val="525" w:hRule="atLeast"/>
        </w:trPr>
        <w:tc>
          <w:tcPr>
            <w:tcW w:w="1800"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rPr>
            </w:pPr>
            <w:r>
              <w:rPr>
                <w:rFonts w:cs="Arial" w:ascii="Arial" w:hAnsi="Arial"/>
              </w:rPr>
              <w:t xml:space="preserve">9:00 – 12:00 </w:t>
            </w:r>
          </w:p>
        </w:tc>
        <w:tc>
          <w:tcPr>
            <w:tcW w:w="8550" w:type="dxa"/>
            <w:tcBorders>
              <w:top w:val="single" w:sz="6" w:space="0" w:color="000000"/>
              <w:start w:val="single" w:sz="6" w:space="0" w:color="000000"/>
              <w:end w:val="single" w:sz="6" w:space="0" w:color="000000"/>
            </w:tcBorders>
            <w:shd w:fill="FFFFFF" w:val="clear"/>
          </w:tcPr>
          <w:p>
            <w:pPr>
              <w:pStyle w:val="Heading5"/>
              <w:snapToGrid w:val="false"/>
              <w:ind w:hanging="0" w:start="342" w:end="0"/>
              <w:rPr>
                <w:rFonts w:ascii="Arial" w:hAnsi="Arial" w:cs="Arial"/>
              </w:rPr>
            </w:pPr>
            <w:r>
              <w:rPr>
                <w:rFonts w:cs="Arial" w:ascii="Arial" w:hAnsi="Arial"/>
              </w:rPr>
            </w:r>
          </w:p>
          <w:p>
            <w:pPr>
              <w:pStyle w:val="Heading5"/>
              <w:ind w:hanging="0" w:start="0"/>
              <w:rPr>
                <w:rFonts w:ascii="Arial" w:hAnsi="Arial" w:cs="Arial"/>
              </w:rPr>
            </w:pPr>
            <w:r>
              <w:rPr>
                <w:rFonts w:cs="Arial" w:ascii="Arial" w:hAnsi="Arial"/>
              </w:rPr>
              <w:t>Opening of Expo Americas &amp; Registration</w:t>
            </w:r>
          </w:p>
          <w:p>
            <w:pPr>
              <w:pStyle w:val="Normal"/>
              <w:ind w:start="342" w:end="0"/>
              <w:rPr>
                <w:rFonts w:ascii="Arial" w:hAnsi="Arial" w:cs="Arial"/>
              </w:rPr>
            </w:pPr>
            <w:r>
              <w:rPr>
                <w:rFonts w:cs="Arial" w:ascii="Arial" w:hAnsi="Arial"/>
              </w:rPr>
            </w:r>
          </w:p>
        </w:tc>
      </w:tr>
      <w:tr>
        <w:trPr/>
        <w:tc>
          <w:tcPr>
            <w:tcW w:w="10350" w:type="dxa"/>
            <w:gridSpan w:val="2"/>
            <w:tcBorders>
              <w:top w:val="single" w:sz="6" w:space="0" w:color="000000"/>
              <w:start w:val="single" w:sz="6" w:space="0" w:color="000000"/>
              <w:bottom w:val="single" w:sz="6" w:space="0" w:color="000000"/>
              <w:end w:val="single" w:sz="6" w:space="0" w:color="000000"/>
            </w:tcBorders>
            <w:shd w:fill="CCCCCC" w:val="clear"/>
            <w:vAlign w:val="cente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9:30 -10:30</w:t>
            </w:r>
          </w:p>
          <w:p>
            <w:pPr>
              <w:pStyle w:val="Normal"/>
              <w:jc w:val="center"/>
              <w:rPr>
                <w:rFonts w:ascii="Arial" w:hAnsi="Arial" w:cs="Arial"/>
              </w:rPr>
            </w:pPr>
            <w:r>
              <w:rPr>
                <w:rFonts w:cs="Arial" w:ascii="Arial" w:hAnsi="Arial"/>
              </w:rPr>
              <w:t>Buffet Breakfast in Expo Hall</w:t>
            </w:r>
          </w:p>
          <w:p>
            <w:pPr>
              <w:pStyle w:val="Normal"/>
              <w:jc w:val="center"/>
              <w:rPr>
                <w:rFonts w:ascii="Arial" w:hAnsi="Arial" w:cs="Arial"/>
              </w:rPr>
            </w:pPr>
            <w:r>
              <w:rPr>
                <w:rFonts w:cs="Arial" w:ascii="Arial" w:hAnsi="Arial"/>
              </w:rPr>
            </w:r>
          </w:p>
        </w:tc>
      </w:tr>
      <w:tr>
        <w:trPr>
          <w:trHeight w:val="525" w:hRule="atLeast"/>
        </w:trPr>
        <w:tc>
          <w:tcPr>
            <w:tcW w:w="1800"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rPr>
            </w:pPr>
            <w:r>
              <w:rPr>
                <w:rFonts w:cs="Arial" w:ascii="Arial" w:hAnsi="Arial"/>
              </w:rPr>
            </w:r>
          </w:p>
          <w:p>
            <w:pPr>
              <w:pStyle w:val="Normal"/>
              <w:jc w:val="center"/>
              <w:rPr/>
            </w:pPr>
            <w:r>
              <w:rPr>
                <w:rFonts w:cs="Arial" w:ascii="Arial" w:hAnsi="Arial"/>
              </w:rPr>
              <w:t>10:30 – 12</w:t>
            </w:r>
            <w:r>
              <w:rPr>
                <w:rFonts w:cs="Arial" w:ascii="Arial" w:hAnsi="Arial"/>
                <w:lang w:val="en-CA" w:eastAsia="en-CA"/>
              </w:rPr>
              <w:t>:00</w:t>
            </w:r>
            <w:r>
              <w:rPr>
                <w:rFonts w:cs="Arial" w:ascii="Arial" w:hAnsi="Arial"/>
              </w:rPr>
              <w:t xml:space="preserve"> </w:t>
            </w:r>
          </w:p>
        </w:tc>
        <w:tc>
          <w:tcPr>
            <w:tcW w:w="8550" w:type="dxa"/>
            <w:tcBorders>
              <w:top w:val="single" w:sz="6" w:space="0" w:color="000000"/>
              <w:start w:val="single" w:sz="6" w:space="0" w:color="000000"/>
              <w:end w:val="single" w:sz="6" w:space="0" w:color="000000"/>
            </w:tcBorders>
            <w:shd w:fill="FFFFFF" w:val="clear"/>
          </w:tcPr>
          <w:p>
            <w:pPr>
              <w:pStyle w:val="Heading5"/>
              <w:snapToGrid w:val="false"/>
              <w:ind w:hanging="0" w:start="342" w:end="0"/>
              <w:rPr>
                <w:rFonts w:ascii="Arial" w:hAnsi="Arial" w:cs="Arial"/>
              </w:rPr>
            </w:pPr>
            <w:r>
              <w:rPr>
                <w:rFonts w:cs="Arial" w:ascii="Arial" w:hAnsi="Arial"/>
              </w:rPr>
            </w:r>
          </w:p>
          <w:p>
            <w:pPr>
              <w:pStyle w:val="Heading5"/>
              <w:ind w:hanging="0" w:start="0"/>
              <w:rPr>
                <w:rFonts w:ascii="Arial" w:hAnsi="Arial" w:cs="Arial"/>
              </w:rPr>
            </w:pPr>
            <w:r>
              <w:rPr>
                <w:rFonts w:cs="Arial" w:ascii="Arial" w:hAnsi="Arial"/>
              </w:rPr>
              <w:t>Official Opening of Expo Americas</w:t>
            </w:r>
          </w:p>
          <w:p>
            <w:pPr>
              <w:pStyle w:val="Normal"/>
              <w:ind w:start="342" w:end="0"/>
              <w:rPr>
                <w:rFonts w:ascii="Arial" w:hAnsi="Arial" w:cs="Arial"/>
              </w:rPr>
            </w:pPr>
            <w:r>
              <w:rPr>
                <w:rFonts w:cs="Arial" w:ascii="Arial" w:hAnsi="Arial"/>
              </w:rPr>
            </w:r>
          </w:p>
        </w:tc>
      </w:tr>
      <w:tr>
        <w:trPr>
          <w:trHeight w:val="1020" w:hRule="atLeast"/>
        </w:trPr>
        <w:tc>
          <w:tcPr>
            <w:tcW w:w="10350"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12:00-2:30</w:t>
            </w:r>
          </w:p>
          <w:p>
            <w:pPr>
              <w:pStyle w:val="Normal"/>
              <w:jc w:val="center"/>
              <w:rPr>
                <w:rFonts w:ascii="Arial" w:hAnsi="Arial" w:cs="Arial"/>
              </w:rPr>
            </w:pPr>
            <w:r>
              <w:rPr>
                <w:rFonts w:cs="Arial" w:ascii="Arial" w:hAnsi="Arial"/>
              </w:rPr>
              <w:t>Luncheon</w:t>
            </w:r>
          </w:p>
          <w:p>
            <w:pPr>
              <w:pStyle w:val="Normal"/>
              <w:jc w:val="center"/>
              <w:rPr>
                <w:rFonts w:ascii="Arial" w:hAnsi="Arial" w:cs="Arial"/>
              </w:rPr>
            </w:pPr>
            <w:r>
              <w:rPr>
                <w:rFonts w:cs="Arial" w:ascii="Arial" w:hAnsi="Arial"/>
              </w:rPr>
            </w:r>
          </w:p>
        </w:tc>
      </w:tr>
      <w:tr>
        <w:trPr>
          <w:trHeight w:val="615" w:hRule="atLeast"/>
        </w:trPr>
        <w:tc>
          <w:tcPr>
            <w:tcW w:w="180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2:45 – 4:30</w:t>
            </w:r>
          </w:p>
        </w:tc>
        <w:tc>
          <w:tcPr>
            <w:tcW w:w="8550" w:type="dxa"/>
            <w:tcBorders>
              <w:top w:val="single" w:sz="6" w:space="0" w:color="000000"/>
              <w:start w:val="single" w:sz="6" w:space="0" w:color="000000"/>
              <w:bottom w:val="single" w:sz="6" w:space="0" w:color="000000"/>
              <w:end w:val="single" w:sz="6" w:space="0" w:color="000000"/>
            </w:tcBorders>
            <w:shd w:fill="FFFFFF" w:val="clear"/>
          </w:tcPr>
          <w:p>
            <w:pPr>
              <w:pStyle w:val="BodyTextIndent"/>
              <w:snapToGrid w:val="false"/>
              <w:ind w:start="342" w:end="-180"/>
              <w:rPr>
                <w:rFonts w:ascii="Arial" w:hAnsi="Arial" w:cs="Arial"/>
                <w:sz w:val="20"/>
              </w:rPr>
            </w:pPr>
            <w:r>
              <w:rPr>
                <w:rFonts w:cs="Arial"/>
                <w:sz w:val="20"/>
              </w:rPr>
            </w:r>
          </w:p>
          <w:p>
            <w:pPr>
              <w:pStyle w:val="BodyTextIndent"/>
              <w:ind w:start="0" w:end="-180"/>
              <w:rPr>
                <w:b/>
                <w:sz w:val="20"/>
              </w:rPr>
            </w:pPr>
            <w:r>
              <w:rPr>
                <w:b/>
                <w:sz w:val="20"/>
              </w:rPr>
              <w:t>An Overview of the Challenges and Opportunities for Latin America</w:t>
            </w:r>
          </w:p>
          <w:p>
            <w:pPr>
              <w:pStyle w:val="BodyTextIndent"/>
              <w:ind w:start="0" w:end="-180"/>
              <w:rPr>
                <w:sz w:val="20"/>
              </w:rPr>
            </w:pPr>
            <w:r>
              <w:rPr>
                <w:sz w:val="20"/>
              </w:rPr>
              <w:t xml:space="preserve">With Latin America enjoying a period of relative economic stability and low inflation, regional leaders have a unique opportunity to enact structural reforms to address difficult economic and social issues.  Distinguished leaders from Latin America will discuss their visions for the continued economic development of the region. </w:t>
            </w:r>
          </w:p>
          <w:p>
            <w:pPr>
              <w:pStyle w:val="BodyTextIndent"/>
              <w:numPr>
                <w:ilvl w:val="0"/>
                <w:numId w:val="8"/>
              </w:numPr>
              <w:tabs>
                <w:tab w:val="clear" w:pos="720"/>
                <w:tab w:val="left" w:pos="702" w:leader="none"/>
              </w:tabs>
              <w:ind w:hanging="342" w:start="702" w:end="-180"/>
              <w:rPr>
                <w:b/>
                <w:sz w:val="20"/>
              </w:rPr>
            </w:pPr>
            <w:r>
              <w:rPr>
                <w:sz w:val="20"/>
              </w:rPr>
              <w:t>Providing an investor friendly climate to attract foreign investment</w:t>
            </w:r>
          </w:p>
          <w:p>
            <w:pPr>
              <w:pStyle w:val="BodyTextIndent"/>
              <w:numPr>
                <w:ilvl w:val="0"/>
                <w:numId w:val="2"/>
              </w:numPr>
              <w:tabs>
                <w:tab w:val="clear" w:pos="720"/>
                <w:tab w:val="left" w:pos="702" w:leader="none"/>
              </w:tabs>
              <w:ind w:hanging="342" w:start="702" w:end="-180"/>
              <w:rPr>
                <w:sz w:val="20"/>
              </w:rPr>
            </w:pPr>
            <w:r>
              <w:rPr>
                <w:sz w:val="20"/>
              </w:rPr>
              <w:t>The role of multilateral institutions and governments in encouraging investment</w:t>
            </w:r>
          </w:p>
          <w:p>
            <w:pPr>
              <w:pStyle w:val="BodyTextIndent"/>
              <w:numPr>
                <w:ilvl w:val="0"/>
                <w:numId w:val="5"/>
              </w:numPr>
              <w:tabs>
                <w:tab w:val="clear" w:pos="720"/>
                <w:tab w:val="left" w:pos="702" w:leader="none"/>
              </w:tabs>
              <w:ind w:hanging="342" w:start="702" w:end="-180"/>
              <w:rPr>
                <w:b/>
                <w:sz w:val="20"/>
              </w:rPr>
            </w:pPr>
            <w:r>
              <w:rPr>
                <w:sz w:val="20"/>
              </w:rPr>
              <w:t>Developing stronger local and regional capital markets</w:t>
            </w:r>
          </w:p>
          <w:p>
            <w:pPr>
              <w:pStyle w:val="BodyTextIndent"/>
              <w:numPr>
                <w:ilvl w:val="0"/>
                <w:numId w:val="5"/>
              </w:numPr>
              <w:tabs>
                <w:tab w:val="clear" w:pos="720"/>
                <w:tab w:val="left" w:pos="702" w:leader="none"/>
              </w:tabs>
              <w:ind w:hanging="342" w:start="702" w:end="-180"/>
              <w:rPr>
                <w:b/>
                <w:sz w:val="20"/>
              </w:rPr>
            </w:pPr>
            <w:r>
              <w:rPr>
                <w:sz w:val="20"/>
              </w:rPr>
              <w:t>The impact of infrastructure investment on poverty reduction and economic growth</w:t>
            </w:r>
          </w:p>
          <w:p>
            <w:pPr>
              <w:pStyle w:val="BodyTextIndent"/>
              <w:ind w:start="0" w:end="-180"/>
              <w:rPr>
                <w:b/>
                <w:sz w:val="20"/>
              </w:rPr>
            </w:pPr>
            <w:r>
              <w:rPr>
                <w:b/>
                <w:sz w:val="20"/>
              </w:rPr>
            </w:r>
          </w:p>
        </w:tc>
      </w:tr>
      <w:tr>
        <w:trPr/>
        <w:tc>
          <w:tcPr>
            <w:tcW w:w="10350" w:type="dxa"/>
            <w:gridSpan w:val="2"/>
            <w:tcBorders>
              <w:top w:val="single" w:sz="6" w:space="0" w:color="000000"/>
              <w:start w:val="single" w:sz="6" w:space="0" w:color="000000"/>
              <w:bottom w:val="single" w:sz="6" w:space="0" w:color="000000"/>
              <w:end w:val="single" w:sz="6" w:space="0" w:color="000000"/>
            </w:tcBorders>
            <w:shd w:fill="CCCCCC" w:val="clear"/>
          </w:tcPr>
          <w:p>
            <w:pPr>
              <w:pStyle w:val="BodyTextIndent"/>
              <w:snapToGrid w:val="false"/>
              <w:ind w:start="-108" w:end="-180"/>
              <w:jc w:val="center"/>
              <w:rPr>
                <w:b/>
                <w:sz w:val="20"/>
              </w:rPr>
            </w:pPr>
            <w:r>
              <w:rPr>
                <w:b/>
                <w:sz w:val="20"/>
              </w:rPr>
            </w:r>
          </w:p>
          <w:p>
            <w:pPr>
              <w:pStyle w:val="BodyTextIndent"/>
              <w:ind w:start="-108" w:end="-180"/>
              <w:jc w:val="center"/>
              <w:rPr>
                <w:sz w:val="20"/>
              </w:rPr>
            </w:pPr>
            <w:r>
              <w:rPr>
                <w:sz w:val="20"/>
              </w:rPr>
              <w:t>4:30 – 4:45</w:t>
            </w:r>
          </w:p>
          <w:p>
            <w:pPr>
              <w:pStyle w:val="BodyTextIndent"/>
              <w:ind w:start="-108" w:end="-180"/>
              <w:jc w:val="center"/>
              <w:rPr>
                <w:sz w:val="20"/>
              </w:rPr>
            </w:pPr>
            <w:r>
              <w:rPr>
                <w:sz w:val="20"/>
              </w:rPr>
              <w:t>Break</w:t>
            </w:r>
          </w:p>
          <w:p>
            <w:pPr>
              <w:pStyle w:val="BodyTextIndent"/>
              <w:ind w:start="-108" w:end="-180"/>
              <w:jc w:val="center"/>
              <w:rPr>
                <w:b/>
                <w:sz w:val="20"/>
              </w:rPr>
            </w:pPr>
            <w:r>
              <w:rPr>
                <w:b/>
                <w:sz w:val="20"/>
              </w:rPr>
            </w:r>
          </w:p>
        </w:tc>
      </w:tr>
      <w:tr>
        <w:trPr>
          <w:trHeight w:val="777" w:hRule="atLeast"/>
        </w:trPr>
        <w:tc>
          <w:tcPr>
            <w:tcW w:w="1800" w:type="dxa"/>
            <w:tcBorders>
              <w:top w:val="single" w:sz="6" w:space="0" w:color="000000"/>
              <w:start w:val="single" w:sz="6" w:space="0" w:color="000000"/>
              <w:bottom w:val="single" w:sz="4" w:space="0" w:color="000000"/>
              <w:end w:val="single" w:sz="6" w:space="0" w:color="000000"/>
            </w:tcBorders>
            <w:shd w:fill="FFFFFF" w:val="clear"/>
          </w:tcPr>
          <w:p>
            <w:pPr>
              <w:pStyle w:val="Normal"/>
              <w:snapToGrid w:val="false"/>
              <w:jc w:val="center"/>
              <w:rPr>
                <w:rFonts w:ascii="Arial" w:hAnsi="Arial" w:cs="Arial"/>
                <w:b/>
                <w:sz w:val="20"/>
              </w:rPr>
            </w:pPr>
            <w:r>
              <w:rPr>
                <w:rFonts w:cs="Arial" w:ascii="Arial" w:hAnsi="Arial"/>
                <w:b/>
                <w:sz w:val="20"/>
              </w:rPr>
            </w:r>
          </w:p>
          <w:p>
            <w:pPr>
              <w:pStyle w:val="Normal"/>
              <w:jc w:val="center"/>
              <w:rPr>
                <w:rFonts w:ascii="Arial" w:hAnsi="Arial" w:cs="Arial"/>
              </w:rPr>
            </w:pPr>
            <w:r>
              <w:rPr>
                <w:rFonts w:cs="Arial" w:ascii="Arial" w:hAnsi="Arial"/>
              </w:rPr>
              <w:t>4:45 – 6:30</w:t>
            </w:r>
          </w:p>
        </w:tc>
        <w:tc>
          <w:tcPr>
            <w:tcW w:w="8550" w:type="dxa"/>
            <w:tcBorders>
              <w:top w:val="single" w:sz="6" w:space="0" w:color="000000"/>
              <w:start w:val="single" w:sz="6" w:space="0" w:color="000000"/>
              <w:bottom w:val="single" w:sz="4" w:space="0" w:color="000000"/>
              <w:end w:val="single" w:sz="6" w:space="0" w:color="000000"/>
            </w:tcBorders>
            <w:shd w:fill="FFFFFF" w:val="clear"/>
          </w:tcPr>
          <w:p>
            <w:pPr>
              <w:pStyle w:val="BodyTextIndent"/>
              <w:snapToGrid w:val="false"/>
              <w:ind w:start="342" w:end="-180"/>
              <w:rPr>
                <w:rFonts w:ascii="Arial" w:hAnsi="Arial" w:cs="Arial"/>
                <w:sz w:val="20"/>
              </w:rPr>
            </w:pPr>
            <w:r>
              <w:rPr>
                <w:rFonts w:cs="Arial"/>
                <w:sz w:val="20"/>
              </w:rPr>
            </w:r>
          </w:p>
          <w:p>
            <w:pPr>
              <w:pStyle w:val="BodyTextIndent"/>
              <w:ind w:start="0" w:end="-180"/>
              <w:rPr>
                <w:b/>
                <w:sz w:val="20"/>
              </w:rPr>
            </w:pPr>
            <w:r>
              <w:rPr>
                <w:b/>
                <w:sz w:val="20"/>
              </w:rPr>
              <w:t>An Analysis of Investment in Latin America</w:t>
            </w:r>
          </w:p>
          <w:p>
            <w:pPr>
              <w:pStyle w:val="BodyTextIndent"/>
              <w:ind w:start="0" w:end="72"/>
              <w:rPr>
                <w:sz w:val="20"/>
              </w:rPr>
            </w:pPr>
            <w:r>
              <w:rPr>
                <w:sz w:val="20"/>
              </w:rPr>
              <w:t xml:space="preserve">Private sector investment in Latin America has exploded from $12 billion in 1990 to $90 billion in 1999.  However, the sharp slowdown in the U.S. and Argentina’s continued economic difficulties are having a negative effect on growth rates throughout the region.  These leading financial investors will address the outlook for investing in Latin America in the midst of a slowing global economy.  This session will provide an overview of the relevant investment disciplines, including: </w:t>
            </w:r>
          </w:p>
          <w:p>
            <w:pPr>
              <w:pStyle w:val="BodyTextIndent"/>
              <w:numPr>
                <w:ilvl w:val="0"/>
                <w:numId w:val="8"/>
              </w:numPr>
              <w:tabs>
                <w:tab w:val="clear" w:pos="720"/>
                <w:tab w:val="left" w:pos="702" w:leader="none"/>
              </w:tabs>
              <w:ind w:hanging="342" w:start="702" w:end="-180"/>
              <w:rPr>
                <w:b/>
                <w:sz w:val="20"/>
              </w:rPr>
            </w:pPr>
            <w:r>
              <w:rPr>
                <w:sz w:val="20"/>
              </w:rPr>
              <w:t>Institutional Investors - Capital markets investments</w:t>
            </w:r>
          </w:p>
          <w:p>
            <w:pPr>
              <w:pStyle w:val="BodyTextIndent"/>
              <w:numPr>
                <w:ilvl w:val="0"/>
                <w:numId w:val="2"/>
              </w:numPr>
              <w:tabs>
                <w:tab w:val="clear" w:pos="720"/>
                <w:tab w:val="left" w:pos="702" w:leader="none"/>
              </w:tabs>
              <w:ind w:hanging="342" w:start="702" w:end="-180"/>
              <w:rPr>
                <w:sz w:val="20"/>
              </w:rPr>
            </w:pPr>
            <w:r>
              <w:rPr>
                <w:sz w:val="20"/>
              </w:rPr>
              <w:t>Multinational Companies - Mergers, acquisitions and strategic alliances</w:t>
            </w:r>
          </w:p>
          <w:p>
            <w:pPr>
              <w:pStyle w:val="BodyTextIndent"/>
              <w:numPr>
                <w:ilvl w:val="0"/>
                <w:numId w:val="5"/>
              </w:numPr>
              <w:tabs>
                <w:tab w:val="clear" w:pos="720"/>
                <w:tab w:val="left" w:pos="702" w:leader="none"/>
              </w:tabs>
              <w:ind w:hanging="342" w:start="702" w:end="-180"/>
              <w:rPr>
                <w:b/>
                <w:sz w:val="20"/>
              </w:rPr>
            </w:pPr>
            <w:r>
              <w:rPr>
                <w:sz w:val="20"/>
              </w:rPr>
              <w:t>Commercial Banks – Syndicated lending and other credit facilities</w:t>
            </w:r>
          </w:p>
          <w:p>
            <w:pPr>
              <w:pStyle w:val="BodyTextIndent"/>
              <w:numPr>
                <w:ilvl w:val="0"/>
                <w:numId w:val="5"/>
              </w:numPr>
              <w:tabs>
                <w:tab w:val="clear" w:pos="720"/>
                <w:tab w:val="left" w:pos="702" w:leader="none"/>
              </w:tabs>
              <w:ind w:hanging="342" w:start="702" w:end="-180"/>
              <w:rPr>
                <w:b/>
                <w:sz w:val="20"/>
              </w:rPr>
            </w:pPr>
            <w:r>
              <w:rPr>
                <w:sz w:val="20"/>
              </w:rPr>
              <w:t>Private equity funds – High risk and high return investments</w:t>
            </w:r>
          </w:p>
          <w:p>
            <w:pPr>
              <w:pStyle w:val="BodyTextIndent"/>
              <w:ind w:start="0" w:end="-180"/>
              <w:rPr>
                <w:b/>
                <w:sz w:val="20"/>
                <w:lang w:val="es-AR"/>
              </w:rPr>
            </w:pPr>
            <w:r>
              <w:rPr>
                <w:b/>
                <w:sz w:val="20"/>
                <w:lang w:val="es-AR"/>
              </w:rPr>
            </w:r>
          </w:p>
        </w:tc>
      </w:tr>
      <w:tr>
        <w:trPr/>
        <w:tc>
          <w:tcPr>
            <w:tcW w:w="10350"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snapToGrid w:val="false"/>
              <w:jc w:val="center"/>
              <w:rPr>
                <w:rFonts w:ascii="Arial" w:hAnsi="Arial" w:cs="Arial"/>
                <w:b/>
                <w:sz w:val="20"/>
                <w:lang w:val="es-AR"/>
              </w:rPr>
            </w:pPr>
            <w:r>
              <w:rPr>
                <w:rFonts w:cs="Arial" w:ascii="Arial" w:hAnsi="Arial"/>
                <w:b/>
                <w:sz w:val="20"/>
                <w:lang w:val="es-AR"/>
              </w:rPr>
            </w:r>
          </w:p>
          <w:p>
            <w:pPr>
              <w:pStyle w:val="Normal"/>
              <w:jc w:val="center"/>
              <w:rPr>
                <w:rFonts w:ascii="Arial" w:hAnsi="Arial" w:cs="Arial"/>
              </w:rPr>
            </w:pPr>
            <w:r>
              <w:rPr>
                <w:rFonts w:cs="Arial" w:ascii="Arial" w:hAnsi="Arial"/>
              </w:rPr>
              <w:t>6:45-8:30</w:t>
            </w:r>
          </w:p>
          <w:p>
            <w:pPr>
              <w:pStyle w:val="Normal"/>
              <w:jc w:val="center"/>
              <w:rPr>
                <w:rFonts w:ascii="Arial" w:hAnsi="Arial" w:cs="Arial"/>
              </w:rPr>
            </w:pPr>
            <w:r>
              <w:rPr>
                <w:rFonts w:cs="Arial" w:ascii="Arial" w:hAnsi="Arial"/>
              </w:rPr>
              <w:t xml:space="preserve">Cocktail Reception </w:t>
            </w:r>
          </w:p>
          <w:p>
            <w:pPr>
              <w:pStyle w:val="Normal"/>
              <w:jc w:val="center"/>
              <w:rPr>
                <w:rFonts w:ascii="Arial" w:hAnsi="Arial" w:cs="Arial"/>
              </w:rPr>
            </w:pPr>
            <w:r>
              <w:rPr>
                <w:rFonts w:cs="Arial" w:ascii="Arial" w:hAnsi="Arial"/>
              </w:rPr>
            </w:r>
          </w:p>
        </w:tc>
      </w:tr>
      <w:tr>
        <w:trPr>
          <w:trHeight w:val="705" w:hRule="atLeast"/>
        </w:trPr>
        <w:tc>
          <w:tcPr>
            <w:tcW w:w="10350" w:type="dxa"/>
            <w:gridSpan w:val="2"/>
            <w:tcBorders>
              <w:top w:val="single" w:sz="4" w:space="0" w:color="000000"/>
              <w:start w:val="single" w:sz="6" w:space="0" w:color="000000"/>
              <w:bottom w:val="single" w:sz="4" w:space="0" w:color="000000"/>
              <w:end w:val="single" w:sz="6" w:space="0" w:color="000000"/>
            </w:tcBorders>
          </w:tcPr>
          <w:p>
            <w:pPr>
              <w:pStyle w:val="Heading4"/>
              <w:snapToGrid w:val="false"/>
              <w:ind w:hanging="0" w:start="0"/>
              <w:jc w:val="center"/>
              <w:rPr>
                <w:rFonts w:ascii="Arial" w:hAnsi="Arial" w:cs="Arial"/>
                <w:b w:val="false"/>
                <w:sz w:val="20"/>
              </w:rPr>
            </w:pPr>
            <w:r>
              <w:rPr>
                <w:rFonts w:cs="Arial" w:ascii="Arial" w:hAnsi="Arial"/>
                <w:b w:val="false"/>
                <w:sz w:val="20"/>
              </w:rPr>
            </w:r>
          </w:p>
          <w:p>
            <w:pPr>
              <w:pStyle w:val="Heading4"/>
              <w:ind w:hanging="0" w:start="0"/>
              <w:jc w:val="center"/>
              <w:rPr>
                <w:rFonts w:ascii="Arial" w:hAnsi="Arial" w:cs="Arial"/>
                <w:sz w:val="20"/>
              </w:rPr>
            </w:pPr>
            <w:r>
              <w:rPr>
                <w:rFonts w:cs="Arial" w:ascii="Arial" w:hAnsi="Arial"/>
                <w:sz w:val="20"/>
              </w:rPr>
              <w:t>Day Two</w:t>
            </w:r>
          </w:p>
          <w:p>
            <w:pPr>
              <w:pStyle w:val="Normal"/>
              <w:rPr>
                <w:rFonts w:ascii="Arial" w:hAnsi="Arial" w:cs="Arial"/>
                <w:sz w:val="20"/>
              </w:rPr>
            </w:pPr>
            <w:r>
              <w:rPr>
                <w:rFonts w:cs="Arial" w:ascii="Arial" w:hAnsi="Arial"/>
                <w:sz w:val="20"/>
              </w:rPr>
            </w:r>
          </w:p>
        </w:tc>
      </w:tr>
      <w:tr>
        <w:trPr>
          <w:trHeight w:val="885" w:hRule="atLeast"/>
        </w:trPr>
        <w:tc>
          <w:tcPr>
            <w:tcW w:w="10350" w:type="dxa"/>
            <w:gridSpan w:val="2"/>
            <w:tcBorders>
              <w:start w:val="single" w:sz="4" w:space="0" w:color="000000"/>
              <w:bottom w:val="single" w:sz="4" w:space="0" w:color="000000"/>
              <w:end w:val="single" w:sz="4" w:space="0" w:color="000000"/>
            </w:tcBorders>
            <w:shd w:fill="CCCCCC"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7:30-8:30</w:t>
            </w:r>
          </w:p>
          <w:p>
            <w:pPr>
              <w:pStyle w:val="Normal"/>
              <w:jc w:val="center"/>
              <w:rPr>
                <w:rFonts w:ascii="Arial" w:hAnsi="Arial" w:cs="Arial"/>
              </w:rPr>
            </w:pPr>
            <w:r>
              <w:rPr>
                <w:rFonts w:cs="Arial" w:ascii="Arial" w:hAnsi="Arial"/>
              </w:rPr>
              <w:t>Registration &amp; Continental Breakfast and Exhibits</w:t>
            </w:r>
          </w:p>
          <w:p>
            <w:pPr>
              <w:pStyle w:val="Normal"/>
              <w:rPr>
                <w:rFonts w:ascii="Arial" w:hAnsi="Arial" w:cs="Arial"/>
              </w:rPr>
            </w:pPr>
            <w:r>
              <w:rPr>
                <w:rFonts w:cs="Arial" w:ascii="Arial" w:hAnsi="Arial"/>
              </w:rPr>
            </w:r>
          </w:p>
        </w:tc>
      </w:tr>
      <w:tr>
        <w:trPr>
          <w:trHeight w:val="885" w:hRule="atLeast"/>
        </w:trPr>
        <w:tc>
          <w:tcPr>
            <w:tcW w:w="10350" w:type="dxa"/>
            <w:gridSpan w:val="2"/>
            <w:tcBorders>
              <w:start w:val="single" w:sz="4" w:space="0" w:color="000000"/>
              <w:bottom w:val="single" w:sz="4" w:space="0" w:color="000000"/>
              <w:end w:val="single" w:sz="4" w:space="0" w:color="000000"/>
            </w:tcBorders>
            <w:shd w:fill="FFFFFF"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 xml:space="preserve">8:45-9:00 </w:t>
            </w:r>
          </w:p>
          <w:p>
            <w:pPr>
              <w:pStyle w:val="Heading6"/>
              <w:ind w:hanging="0" w:start="0"/>
              <w:rPr>
                <w:sz w:val="20"/>
              </w:rPr>
            </w:pPr>
            <w:r>
              <w:rPr>
                <w:sz w:val="20"/>
              </w:rPr>
              <w:t>Chairman’s Re-Cap of Day One and Introduction to Day Two</w:t>
            </w:r>
          </w:p>
          <w:p>
            <w:pPr>
              <w:pStyle w:val="Normal"/>
              <w:jc w:val="center"/>
              <w:rPr>
                <w:rFonts w:ascii="Arial" w:hAnsi="Arial" w:cs="Arial"/>
              </w:rPr>
            </w:pPr>
            <w:r>
              <w:rPr>
                <w:rFonts w:cs="Arial" w:ascii="Arial" w:hAnsi="Arial"/>
                <w:i/>
              </w:rPr>
              <w:t xml:space="preserve">John H. Tonelli </w:t>
              <w:br/>
              <w:t>Chairman &amp; CEO</w:t>
              <w:br/>
              <w:t>International Venture Partners, LLC</w:t>
            </w:r>
          </w:p>
          <w:p>
            <w:pPr>
              <w:pStyle w:val="Normal"/>
              <w:jc w:val="center"/>
              <w:rPr>
                <w:rFonts w:ascii="Arial" w:hAnsi="Arial" w:cs="Arial"/>
              </w:rPr>
            </w:pPr>
            <w:r>
              <w:rPr>
                <w:rFonts w:cs="Arial" w:ascii="Arial" w:hAnsi="Arial"/>
              </w:rPr>
            </w:r>
          </w:p>
        </w:tc>
      </w:tr>
      <w:tr>
        <w:trPr>
          <w:trHeight w:val="795" w:hRule="atLeast"/>
        </w:trPr>
        <w:tc>
          <w:tcPr>
            <w:tcW w:w="1800" w:type="dxa"/>
            <w:tcBorders>
              <w:start w:val="single" w:sz="4" w:space="0" w:color="000000"/>
              <w:bottom w:val="single" w:sz="4" w:space="0" w:color="000000"/>
              <w:end w:val="single" w:sz="4" w:space="0" w:color="000000"/>
            </w:tcBorders>
            <w:shd w:fill="FFFFFF"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9:00 – 10:45</w:t>
            </w:r>
          </w:p>
        </w:tc>
        <w:tc>
          <w:tcPr>
            <w:tcW w:w="8550" w:type="dxa"/>
            <w:tcBorders>
              <w:start w:val="single" w:sz="6" w:space="0" w:color="000000"/>
              <w:bottom w:val="single" w:sz="4" w:space="0" w:color="000000"/>
              <w:end w:val="single" w:sz="4" w:space="0" w:color="000000"/>
            </w:tcBorders>
            <w:shd w:fill="FFFFFF" w:val="clear"/>
          </w:tcPr>
          <w:p>
            <w:pPr>
              <w:pStyle w:val="Header"/>
              <w:tabs>
                <w:tab w:val="clear" w:pos="4320"/>
                <w:tab w:val="clear" w:pos="8640"/>
              </w:tabs>
              <w:snapToGrid w:val="false"/>
              <w:rPr>
                <w:rFonts w:ascii="Arial" w:hAnsi="Arial" w:cs="Arial"/>
                <w:b/>
              </w:rPr>
            </w:pPr>
            <w:r>
              <w:rPr>
                <w:rFonts w:cs="Arial" w:ascii="Arial" w:hAnsi="Arial"/>
                <w:b/>
              </w:rPr>
            </w:r>
          </w:p>
          <w:p>
            <w:pPr>
              <w:pStyle w:val="Header"/>
              <w:tabs>
                <w:tab w:val="clear" w:pos="4320"/>
                <w:tab w:val="clear" w:pos="8640"/>
              </w:tabs>
              <w:rPr>
                <w:rFonts w:ascii="Arial" w:hAnsi="Arial" w:cs="Arial"/>
                <w:b/>
              </w:rPr>
            </w:pPr>
            <w:r>
              <w:rPr>
                <w:rFonts w:cs="Arial" w:ascii="Arial" w:hAnsi="Arial"/>
                <w:b/>
              </w:rPr>
              <w:t>Regional Integration – The Dreams and the Reality</w:t>
            </w:r>
          </w:p>
          <w:p>
            <w:pPr>
              <w:pStyle w:val="Header"/>
              <w:tabs>
                <w:tab w:val="clear" w:pos="4320"/>
                <w:tab w:val="clear" w:pos="8640"/>
              </w:tabs>
              <w:rPr>
                <w:rFonts w:ascii="Arial" w:hAnsi="Arial" w:cs="Arial"/>
              </w:rPr>
            </w:pPr>
            <w:r>
              <w:rPr>
                <w:rFonts w:cs="Arial" w:ascii="Arial" w:hAnsi="Arial"/>
              </w:rPr>
              <w:t xml:space="preserve">Despite concerns about tarriffs, unfair competition, labor issues and environmental protection, most of Latin America’s governments continue to support free trade and regional integration. This session provides a reflection on the effects of regional integration on the economies of Latin America by some of Latin America’s greatest visionaries.  </w:t>
            </w:r>
          </w:p>
          <w:p>
            <w:pPr>
              <w:pStyle w:val="Header"/>
              <w:numPr>
                <w:ilvl w:val="0"/>
                <w:numId w:val="6"/>
              </w:numPr>
              <w:tabs>
                <w:tab w:val="clear" w:pos="4320"/>
                <w:tab w:val="clear" w:pos="8640"/>
              </w:tabs>
              <w:ind w:hanging="18" w:start="360" w:end="0"/>
              <w:rPr>
                <w:rFonts w:ascii="Arial" w:hAnsi="Arial" w:cs="Arial"/>
              </w:rPr>
            </w:pPr>
            <w:r>
              <w:rPr>
                <w:rFonts w:cs="Arial" w:ascii="Arial" w:hAnsi="Arial"/>
              </w:rPr>
              <w:t>The development and growth of Mercosur</w:t>
            </w:r>
          </w:p>
          <w:p>
            <w:pPr>
              <w:pStyle w:val="Header"/>
              <w:numPr>
                <w:ilvl w:val="0"/>
                <w:numId w:val="6"/>
              </w:numPr>
              <w:tabs>
                <w:tab w:val="clear" w:pos="4320"/>
                <w:tab w:val="clear" w:pos="8640"/>
              </w:tabs>
              <w:ind w:hanging="18" w:start="360" w:end="0"/>
              <w:rPr>
                <w:rFonts w:ascii="Arial" w:hAnsi="Arial" w:cs="Arial"/>
              </w:rPr>
            </w:pPr>
            <w:r>
              <w:rPr>
                <w:rFonts w:cs="Arial" w:ascii="Arial" w:hAnsi="Arial"/>
              </w:rPr>
              <w:t>Has regional integration helped increase investment in the region?</w:t>
            </w:r>
          </w:p>
          <w:p>
            <w:pPr>
              <w:pStyle w:val="Header"/>
              <w:numPr>
                <w:ilvl w:val="0"/>
                <w:numId w:val="6"/>
              </w:numPr>
              <w:tabs>
                <w:tab w:val="clear" w:pos="4320"/>
                <w:tab w:val="clear" w:pos="8640"/>
              </w:tabs>
              <w:ind w:hanging="18" w:start="360" w:end="0"/>
              <w:rPr>
                <w:rFonts w:ascii="Arial" w:hAnsi="Arial" w:cs="Arial"/>
                <w:b/>
              </w:rPr>
            </w:pPr>
            <w:r>
              <w:rPr>
                <w:rFonts w:cs="Arial" w:ascii="Arial" w:hAnsi="Arial"/>
              </w:rPr>
              <w:t>Is the Free Trade Association of the Americas (FTAA) a viable goal in the near term?</w:t>
            </w:r>
          </w:p>
          <w:p>
            <w:pPr>
              <w:pStyle w:val="Header"/>
              <w:numPr>
                <w:ilvl w:val="0"/>
                <w:numId w:val="6"/>
              </w:numPr>
              <w:tabs>
                <w:tab w:val="clear" w:pos="4320"/>
                <w:tab w:val="clear" w:pos="8640"/>
              </w:tabs>
              <w:ind w:hanging="18" w:start="360" w:end="0"/>
              <w:rPr>
                <w:rFonts w:ascii="Arial" w:hAnsi="Arial" w:cs="Arial"/>
                <w:b/>
              </w:rPr>
            </w:pPr>
            <w:r>
              <w:rPr>
                <w:rFonts w:cs="Arial" w:ascii="Arial" w:hAnsi="Arial"/>
              </w:rPr>
              <w:t>Does regional integration help the smaller countries in the region?</w:t>
            </w:r>
          </w:p>
          <w:p>
            <w:pPr>
              <w:pStyle w:val="Header"/>
              <w:tabs>
                <w:tab w:val="clear" w:pos="4320"/>
                <w:tab w:val="clear" w:pos="8640"/>
              </w:tabs>
              <w:rPr>
                <w:rFonts w:ascii="Arial" w:hAnsi="Arial" w:cs="Arial"/>
                <w:b/>
                <w:lang w:val="es-AR"/>
              </w:rPr>
            </w:pPr>
            <w:r>
              <w:rPr>
                <w:rFonts w:cs="Arial" w:ascii="Arial" w:hAnsi="Arial"/>
                <w:b/>
                <w:lang w:val="es-AR"/>
              </w:rPr>
            </w:r>
          </w:p>
        </w:tc>
      </w:tr>
      <w:tr>
        <w:trPr>
          <w:trHeight w:val="795" w:hRule="atLeast"/>
        </w:trPr>
        <w:tc>
          <w:tcPr>
            <w:tcW w:w="1800" w:type="dxa"/>
            <w:tcBorders>
              <w:start w:val="single" w:sz="4" w:space="0" w:color="000000"/>
              <w:bottom w:val="single" w:sz="4" w:space="0" w:color="000000"/>
              <w:end w:val="single" w:sz="4" w:space="0" w:color="000000"/>
            </w:tcBorders>
            <w:shd w:fill="FFFFFF" w:val="clear"/>
          </w:tcPr>
          <w:p>
            <w:pPr>
              <w:pStyle w:val="Normal"/>
              <w:snapToGrid w:val="false"/>
              <w:jc w:val="center"/>
              <w:rPr>
                <w:rFonts w:ascii="Arial" w:hAnsi="Arial" w:cs="Arial"/>
                <w:b/>
                <w:lang w:val="es-AR"/>
              </w:rPr>
            </w:pPr>
            <w:r>
              <w:rPr>
                <w:rFonts w:cs="Arial" w:ascii="Arial" w:hAnsi="Arial"/>
                <w:b/>
                <w:lang w:val="es-AR"/>
              </w:rPr>
            </w:r>
          </w:p>
          <w:p>
            <w:pPr>
              <w:pStyle w:val="Normal"/>
              <w:jc w:val="center"/>
              <w:rPr>
                <w:rFonts w:ascii="Arial" w:hAnsi="Arial" w:cs="Arial"/>
              </w:rPr>
            </w:pPr>
            <w:r>
              <w:rPr>
                <w:rFonts w:cs="Arial" w:ascii="Arial" w:hAnsi="Arial"/>
              </w:rPr>
              <w:t>10:45 – 11:45</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tc>
        <w:tc>
          <w:tcPr>
            <w:tcW w:w="8550" w:type="dxa"/>
            <w:tcBorders>
              <w:start w:val="single" w:sz="6" w:space="0" w:color="000000"/>
              <w:bottom w:val="single" w:sz="4" w:space="0" w:color="000000"/>
              <w:end w:val="single" w:sz="4" w:space="0" w:color="000000"/>
            </w:tcBorders>
            <w:shd w:fill="FFFFFF" w:val="clear"/>
          </w:tcPr>
          <w:p>
            <w:pPr>
              <w:pStyle w:val="Header"/>
              <w:tabs>
                <w:tab w:val="clear" w:pos="4320"/>
                <w:tab w:val="clear" w:pos="8640"/>
              </w:tabs>
              <w:snapToGrid w:val="false"/>
              <w:rPr>
                <w:rFonts w:ascii="Arial" w:hAnsi="Arial" w:cs="Arial"/>
                <w:b/>
              </w:rPr>
            </w:pPr>
            <w:r>
              <w:rPr>
                <w:rFonts w:cs="Arial" w:ascii="Arial" w:hAnsi="Arial"/>
                <w:b/>
              </w:rPr>
            </w:r>
          </w:p>
          <w:p>
            <w:pPr>
              <w:pStyle w:val="BodyTextIndent"/>
              <w:ind w:start="0" w:end="-180"/>
              <w:rPr>
                <w:b/>
                <w:sz w:val="20"/>
              </w:rPr>
            </w:pPr>
            <w:r>
              <w:rPr>
                <w:b/>
                <w:sz w:val="20"/>
              </w:rPr>
              <w:t>Promoting Greater Infrastructure Investment in the Americas</w:t>
            </w:r>
          </w:p>
          <w:p>
            <w:pPr>
              <w:pStyle w:val="BodyTextIndent"/>
              <w:ind w:start="0" w:end="-180"/>
              <w:rPr>
                <w:b/>
                <w:sz w:val="20"/>
              </w:rPr>
            </w:pPr>
            <w:r>
              <w:rPr>
                <w:sz w:val="20"/>
              </w:rPr>
              <w:t>Continued investment in infrastructure is essential for the region to provide basic services to a growing population, improve the standard of living and maintain economic growth in the region.  These prominent government officials will discuss the need for increased investment in Latin American infrastructure and their plans for encouraging it in their countries.</w:t>
            </w:r>
          </w:p>
          <w:p>
            <w:pPr>
              <w:pStyle w:val="BodyTextIndent"/>
              <w:numPr>
                <w:ilvl w:val="0"/>
                <w:numId w:val="9"/>
              </w:numPr>
              <w:ind w:hanging="360" w:start="720" w:end="-180"/>
              <w:rPr>
                <w:sz w:val="20"/>
              </w:rPr>
            </w:pPr>
            <w:r>
              <w:rPr>
                <w:sz w:val="20"/>
              </w:rPr>
              <w:t>Addressing local government’s urgent need to upgrade existing infrastructure</w:t>
            </w:r>
          </w:p>
          <w:p>
            <w:pPr>
              <w:pStyle w:val="BodyTextIndent"/>
              <w:numPr>
                <w:ilvl w:val="0"/>
                <w:numId w:val="9"/>
              </w:numPr>
              <w:ind w:hanging="360" w:start="720" w:end="-180"/>
              <w:rPr>
                <w:sz w:val="20"/>
              </w:rPr>
            </w:pPr>
            <w:r>
              <w:rPr>
                <w:sz w:val="20"/>
              </w:rPr>
              <w:t>Identifying projects that can be financed and providing adequate guarantees</w:t>
            </w:r>
          </w:p>
          <w:p>
            <w:pPr>
              <w:pStyle w:val="BodyTextIndent"/>
              <w:numPr>
                <w:ilvl w:val="0"/>
                <w:numId w:val="9"/>
              </w:numPr>
              <w:ind w:hanging="360" w:start="720" w:end="-180"/>
              <w:rPr>
                <w:b/>
                <w:sz w:val="20"/>
              </w:rPr>
            </w:pPr>
            <w:r>
              <w:rPr>
                <w:sz w:val="20"/>
              </w:rPr>
              <w:t>The role of multilateral agencies and government entities in project development</w:t>
            </w:r>
          </w:p>
          <w:p>
            <w:pPr>
              <w:pStyle w:val="BodyTextIndent"/>
              <w:numPr>
                <w:ilvl w:val="0"/>
                <w:numId w:val="12"/>
              </w:numPr>
              <w:ind w:hanging="18" w:start="360" w:end="0"/>
              <w:rPr>
                <w:b/>
                <w:sz w:val="20"/>
              </w:rPr>
            </w:pPr>
            <w:r>
              <w:rPr>
                <w:sz w:val="20"/>
              </w:rPr>
              <w:t>Accessing international capital markets for infrastructure projects</w:t>
            </w:r>
          </w:p>
          <w:p>
            <w:pPr>
              <w:pStyle w:val="Header"/>
              <w:tabs>
                <w:tab w:val="clear" w:pos="4320"/>
                <w:tab w:val="clear" w:pos="8640"/>
              </w:tabs>
              <w:rPr>
                <w:rFonts w:ascii="Arial" w:hAnsi="Arial" w:cs="Arial"/>
                <w:b/>
                <w:sz w:val="20"/>
              </w:rPr>
            </w:pPr>
            <w:r>
              <w:rPr>
                <w:rFonts w:cs="Arial" w:ascii="Arial" w:hAnsi="Arial"/>
                <w:b/>
                <w:sz w:val="20"/>
              </w:rPr>
            </w:r>
          </w:p>
        </w:tc>
      </w:tr>
      <w:tr>
        <w:trPr>
          <w:trHeight w:val="1065" w:hRule="atLeast"/>
        </w:trPr>
        <w:tc>
          <w:tcPr>
            <w:tcW w:w="10350" w:type="dxa"/>
            <w:gridSpan w:val="2"/>
            <w:tcBorders>
              <w:start w:val="single" w:sz="4" w:space="0" w:color="000000"/>
              <w:bottom w:val="single" w:sz="4" w:space="0" w:color="000000"/>
              <w:end w:val="single" w:sz="4" w:space="0" w:color="000000"/>
            </w:tcBorders>
            <w:shd w:fill="CCCCCC" w:val="clear"/>
            <w:vAlign w:val="center"/>
          </w:tcPr>
          <w:p>
            <w:pPr>
              <w:pStyle w:val="Normal"/>
              <w:jc w:val="center"/>
              <w:rPr>
                <w:rFonts w:ascii="Arial" w:hAnsi="Arial" w:cs="Arial"/>
              </w:rPr>
            </w:pPr>
            <w:r>
              <w:rPr>
                <w:rFonts w:cs="Arial" w:ascii="Arial" w:hAnsi="Arial"/>
              </w:rPr>
              <w:t>10:45-11:00</w:t>
            </w:r>
          </w:p>
          <w:p>
            <w:pPr>
              <w:pStyle w:val="Normal"/>
              <w:jc w:val="center"/>
              <w:rPr>
                <w:rFonts w:ascii="Arial" w:hAnsi="Arial" w:cs="Arial"/>
              </w:rPr>
            </w:pPr>
            <w:r>
              <w:rPr>
                <w:rFonts w:cs="Arial" w:ascii="Arial" w:hAnsi="Arial"/>
              </w:rPr>
              <w:t>Mid-Morning Refreshments and Exhibits</w:t>
            </w:r>
          </w:p>
        </w:tc>
      </w:tr>
      <w:tr>
        <w:trPr/>
        <w:tc>
          <w:tcPr>
            <w:tcW w:w="180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11:15 – 12:30</w:t>
            </w:r>
          </w:p>
        </w:tc>
        <w:tc>
          <w:tcPr>
            <w:tcW w:w="8550" w:type="dxa"/>
            <w:tcBorders>
              <w:top w:val="single" w:sz="6" w:space="0" w:color="000000"/>
              <w:start w:val="single" w:sz="6" w:space="0" w:color="000000"/>
              <w:bottom w:val="single" w:sz="6" w:space="0" w:color="000000"/>
              <w:end w:val="single" w:sz="6" w:space="0" w:color="000000"/>
            </w:tcBorders>
            <w:shd w:fill="FFFFFF" w:val="clear"/>
          </w:tcPr>
          <w:p>
            <w:pPr>
              <w:pStyle w:val="BodyTextIndent"/>
              <w:snapToGrid w:val="false"/>
              <w:rPr>
                <w:rFonts w:ascii="Arial" w:hAnsi="Arial" w:cs="Arial"/>
                <w:b/>
                <w:sz w:val="20"/>
              </w:rPr>
            </w:pPr>
            <w:r>
              <w:rPr>
                <w:rFonts w:cs="Arial"/>
                <w:b/>
                <w:sz w:val="20"/>
              </w:rPr>
            </w:r>
          </w:p>
          <w:p>
            <w:pPr>
              <w:pStyle w:val="BodyTextIndent"/>
              <w:ind w:start="0" w:end="882"/>
              <w:rPr>
                <w:b/>
                <w:color w:val="000000"/>
                <w:sz w:val="20"/>
              </w:rPr>
            </w:pPr>
            <w:r>
              <w:rPr>
                <w:b/>
                <w:color w:val="000000"/>
                <w:sz w:val="20"/>
              </w:rPr>
              <w:t>Overcoming the Challenges of Financing Infrastructure Projects</w:t>
            </w:r>
          </w:p>
          <w:p>
            <w:pPr>
              <w:pStyle w:val="BodyTextIndent"/>
              <w:ind w:start="0" w:end="882"/>
              <w:rPr>
                <w:color w:val="000000"/>
                <w:sz w:val="20"/>
              </w:rPr>
            </w:pPr>
            <w:r>
              <w:rPr>
                <w:color w:val="000000"/>
                <w:sz w:val="20"/>
              </w:rPr>
              <w:t>Large scale infrastructure projects typically require long term financing, which is not readily available in the region.  There are a variety of challenges to funding infrastructure projects in Latin America.  These high level speakers from public and private sector financial institutions will address these challenges and discuss strategies for developing successful projects.</w:t>
            </w:r>
          </w:p>
          <w:p>
            <w:pPr>
              <w:pStyle w:val="BodyText3"/>
              <w:numPr>
                <w:ilvl w:val="0"/>
                <w:numId w:val="10"/>
              </w:numPr>
              <w:rPr>
                <w:sz w:val="20"/>
              </w:rPr>
            </w:pPr>
            <w:r>
              <w:rPr>
                <w:sz w:val="20"/>
              </w:rPr>
              <w:t>Where are the main obstacles &amp; challenges?</w:t>
            </w:r>
          </w:p>
          <w:p>
            <w:pPr>
              <w:pStyle w:val="BodyText3"/>
              <w:numPr>
                <w:ilvl w:val="0"/>
                <w:numId w:val="10"/>
              </w:numPr>
              <w:rPr>
                <w:sz w:val="20"/>
              </w:rPr>
            </w:pPr>
            <w:r>
              <w:rPr>
                <w:sz w:val="20"/>
              </w:rPr>
              <w:t>Comparing opportunities in energy, transportation &amp; telecommunications sectors</w:t>
            </w:r>
          </w:p>
          <w:p>
            <w:pPr>
              <w:pStyle w:val="BodyText3"/>
              <w:numPr>
                <w:ilvl w:val="0"/>
                <w:numId w:val="10"/>
              </w:numPr>
              <w:rPr>
                <w:sz w:val="20"/>
              </w:rPr>
            </w:pPr>
            <w:r>
              <w:rPr>
                <w:sz w:val="20"/>
              </w:rPr>
              <w:t>Transactions structures that overcome political and commercial risks</w:t>
            </w:r>
          </w:p>
          <w:p>
            <w:pPr>
              <w:pStyle w:val="BodyText3"/>
              <w:numPr>
                <w:ilvl w:val="0"/>
                <w:numId w:val="10"/>
              </w:numPr>
              <w:rPr>
                <w:sz w:val="20"/>
              </w:rPr>
            </w:pPr>
            <w:r>
              <w:rPr>
                <w:sz w:val="20"/>
              </w:rPr>
              <w:t>Using political risk insurance to reduce a project’s cost of capital</w:t>
            </w:r>
          </w:p>
          <w:p>
            <w:pPr>
              <w:pStyle w:val="BodyTextIndent"/>
              <w:ind w:start="0" w:end="0"/>
              <w:rPr>
                <w:b/>
                <w:sz w:val="20"/>
              </w:rPr>
            </w:pPr>
            <w:r>
              <w:rPr>
                <w:b/>
                <w:sz w:val="20"/>
              </w:rPr>
            </w:r>
          </w:p>
        </w:tc>
      </w:tr>
      <w:tr>
        <w:trPr>
          <w:trHeight w:val="1065" w:hRule="atLeast"/>
        </w:trPr>
        <w:tc>
          <w:tcPr>
            <w:tcW w:w="10350" w:type="dxa"/>
            <w:gridSpan w:val="2"/>
            <w:tcBorders>
              <w:top w:val="single" w:sz="4" w:space="0" w:color="000000"/>
              <w:start w:val="single" w:sz="4" w:space="0" w:color="000000"/>
              <w:bottom w:val="single" w:sz="4" w:space="0" w:color="000000"/>
              <w:end w:val="single" w:sz="4" w:space="0" w:color="000000"/>
            </w:tcBorders>
            <w:shd w:fill="CCCCCC" w:val="clear"/>
            <w:vAlign w:val="center"/>
          </w:tcPr>
          <w:p>
            <w:pPr>
              <w:pStyle w:val="Normal"/>
              <w:jc w:val="center"/>
              <w:rPr>
                <w:rFonts w:ascii="Arial" w:hAnsi="Arial" w:cs="Arial"/>
              </w:rPr>
            </w:pPr>
            <w:r>
              <w:rPr>
                <w:rFonts w:cs="Arial" w:ascii="Arial" w:hAnsi="Arial"/>
              </w:rPr>
              <w:t>12:45-2:45</w:t>
            </w:r>
          </w:p>
          <w:p>
            <w:pPr>
              <w:pStyle w:val="Normal"/>
              <w:jc w:val="center"/>
              <w:rPr>
                <w:rFonts w:ascii="Arial" w:hAnsi="Arial" w:cs="Arial"/>
              </w:rPr>
            </w:pPr>
            <w:r>
              <w:rPr>
                <w:rFonts w:cs="Arial" w:ascii="Arial" w:hAnsi="Arial"/>
              </w:rPr>
              <w:t>Lunch</w:t>
            </w:r>
          </w:p>
        </w:tc>
      </w:tr>
      <w:tr>
        <w:trPr>
          <w:trHeight w:val="782" w:hRule="atLeast"/>
        </w:trPr>
        <w:tc>
          <w:tcPr>
            <w:tcW w:w="1800"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Arial" w:hAnsi="Arial" w:cs="Arial"/>
              </w:rPr>
            </w:pPr>
            <w:r>
              <w:rPr>
                <w:rFonts w:cs="Arial" w:ascii="Arial" w:hAnsi="Arial"/>
              </w:rPr>
            </w:r>
          </w:p>
          <w:p>
            <w:pPr>
              <w:pStyle w:val="Normal"/>
              <w:jc w:val="center"/>
              <w:rPr>
                <w:rFonts w:ascii="Arial" w:hAnsi="Arial" w:cs="Arial"/>
              </w:rPr>
            </w:pPr>
            <w:r>
              <w:rPr>
                <w:rFonts w:cs="Arial" w:ascii="Arial" w:hAnsi="Arial"/>
              </w:rPr>
              <w:t>2:45 – 4:15</w:t>
            </w:r>
          </w:p>
        </w:tc>
        <w:tc>
          <w:tcPr>
            <w:tcW w:w="8550" w:type="dxa"/>
            <w:tcBorders>
              <w:top w:val="single" w:sz="4" w:space="0" w:color="000000"/>
              <w:start w:val="single" w:sz="4" w:space="0" w:color="000000"/>
              <w:bottom w:val="single" w:sz="4" w:space="0" w:color="000000"/>
              <w:end w:val="single" w:sz="4" w:space="0" w:color="000000"/>
            </w:tcBorders>
            <w:shd w:fill="FFFFFF" w:val="clear"/>
          </w:tcPr>
          <w:p>
            <w:pPr>
              <w:pStyle w:val="BodyTextIndent"/>
              <w:snapToGrid w:val="false"/>
              <w:ind w:end="882"/>
              <w:rPr>
                <w:rFonts w:ascii="Arial" w:hAnsi="Arial" w:cs="Arial"/>
                <w:b/>
                <w:sz w:val="20"/>
              </w:rPr>
            </w:pPr>
            <w:r>
              <w:rPr>
                <w:rFonts w:cs="Arial"/>
                <w:b/>
                <w:sz w:val="20"/>
              </w:rPr>
            </w:r>
          </w:p>
          <w:p>
            <w:pPr>
              <w:pStyle w:val="BodyText3"/>
              <w:ind w:start="-18" w:end="0"/>
              <w:rPr>
                <w:b/>
                <w:sz w:val="20"/>
              </w:rPr>
            </w:pPr>
            <w:r>
              <w:rPr>
                <w:b/>
                <w:sz w:val="20"/>
              </w:rPr>
              <w:t>Avoiding Power Shortages by Encouraging Investment in the Electricity Sector</w:t>
            </w:r>
          </w:p>
          <w:p>
            <w:pPr>
              <w:pStyle w:val="BodyText3"/>
              <w:ind w:start="-18" w:end="0"/>
              <w:rPr>
                <w:sz w:val="20"/>
              </w:rPr>
            </w:pPr>
            <w:r>
              <w:rPr>
                <w:sz w:val="20"/>
              </w:rPr>
              <w:t>Brazil has instituted emergency measures aimed at cutting electricity consumption by 20% in order to avoid crippling power shortages and blackouts.  Additional investments in energy production and distribution are urgently required in order to maintain growth and economic development throughout Latin America.  Hear from a variety of experts in the electricity sector about how these problems are being addressed and where the opportunities are for investment.</w:t>
            </w:r>
          </w:p>
          <w:p>
            <w:pPr>
              <w:pStyle w:val="Header"/>
              <w:numPr>
                <w:ilvl w:val="0"/>
                <w:numId w:val="11"/>
              </w:numPr>
              <w:tabs>
                <w:tab w:val="clear" w:pos="4320"/>
                <w:tab w:val="clear" w:pos="8640"/>
              </w:tabs>
              <w:rPr>
                <w:rFonts w:ascii="Arial" w:hAnsi="Arial" w:cs="Arial"/>
                <w:i/>
                <w:i/>
              </w:rPr>
            </w:pPr>
            <w:r>
              <w:rPr>
                <w:rFonts w:cs="Arial" w:ascii="Arial" w:hAnsi="Arial"/>
              </w:rPr>
              <w:t>Developing energy and natural resources policies for emerging economies</w:t>
            </w:r>
          </w:p>
          <w:p>
            <w:pPr>
              <w:pStyle w:val="Header"/>
              <w:numPr>
                <w:ilvl w:val="0"/>
                <w:numId w:val="4"/>
              </w:numPr>
              <w:tabs>
                <w:tab w:val="clear" w:pos="4320"/>
                <w:tab w:val="clear" w:pos="8640"/>
                <w:tab w:val="left" w:pos="702" w:leader="none"/>
              </w:tabs>
              <w:ind w:hanging="360" w:start="702" w:end="0"/>
              <w:rPr>
                <w:rFonts w:ascii="Arial" w:hAnsi="Arial" w:cs="Arial"/>
                <w:i/>
                <w:i/>
              </w:rPr>
            </w:pPr>
            <w:r>
              <w:rPr>
                <w:rFonts w:cs="Arial" w:ascii="Arial" w:hAnsi="Arial"/>
              </w:rPr>
              <w:t>Avoiding electricity shortages through careful deregulation programs</w:t>
            </w:r>
          </w:p>
          <w:p>
            <w:pPr>
              <w:pStyle w:val="Header"/>
              <w:numPr>
                <w:ilvl w:val="0"/>
                <w:numId w:val="4"/>
              </w:numPr>
              <w:tabs>
                <w:tab w:val="clear" w:pos="4320"/>
                <w:tab w:val="clear" w:pos="8640"/>
                <w:tab w:val="left" w:pos="702" w:leader="none"/>
              </w:tabs>
              <w:ind w:hanging="360" w:start="702" w:end="0"/>
              <w:rPr>
                <w:rFonts w:ascii="Arial" w:hAnsi="Arial" w:cs="Arial"/>
                <w:i/>
                <w:i/>
              </w:rPr>
            </w:pPr>
            <w:r>
              <w:rPr>
                <w:rFonts w:cs="Arial" w:ascii="Arial" w:hAnsi="Arial"/>
              </w:rPr>
              <w:t>Privatizing transmission grids to generate additional investment</w:t>
            </w:r>
          </w:p>
          <w:p>
            <w:pPr>
              <w:pStyle w:val="Header"/>
              <w:numPr>
                <w:ilvl w:val="0"/>
                <w:numId w:val="11"/>
              </w:numPr>
              <w:tabs>
                <w:tab w:val="clear" w:pos="4320"/>
                <w:tab w:val="clear" w:pos="8640"/>
              </w:tabs>
              <w:rPr>
                <w:rFonts w:ascii="Arial" w:hAnsi="Arial" w:cs="Arial"/>
                <w:i/>
                <w:i/>
              </w:rPr>
            </w:pPr>
            <w:r>
              <w:rPr>
                <w:rFonts w:cs="Arial" w:ascii="Arial" w:hAnsi="Arial"/>
              </w:rPr>
              <w:t>Balancing environmental concerns with economic development</w:t>
            </w:r>
          </w:p>
          <w:p>
            <w:pPr>
              <w:pStyle w:val="BodyText3"/>
              <w:numPr>
                <w:ilvl w:val="0"/>
                <w:numId w:val="11"/>
              </w:numPr>
              <w:rPr>
                <w:sz w:val="20"/>
              </w:rPr>
            </w:pPr>
            <w:r>
              <w:rPr>
                <w:sz w:val="20"/>
              </w:rPr>
              <w:t>Advances in cleaner generation technologies, alternative fuels and distributed generation</w:t>
            </w:r>
          </w:p>
          <w:p>
            <w:pPr>
              <w:pStyle w:val="BodyText3"/>
              <w:rPr>
                <w:sz w:val="20"/>
              </w:rPr>
            </w:pPr>
            <w:r>
              <w:rPr>
                <w:sz w:val="20"/>
              </w:rPr>
            </w:r>
          </w:p>
        </w:tc>
      </w:tr>
      <w:tr>
        <w:trPr>
          <w:trHeight w:val="1065" w:hRule="atLeast"/>
        </w:trPr>
        <w:tc>
          <w:tcPr>
            <w:tcW w:w="10350" w:type="dxa"/>
            <w:gridSpan w:val="2"/>
            <w:tcBorders>
              <w:top w:val="single" w:sz="4" w:space="0" w:color="000000"/>
              <w:start w:val="single" w:sz="4" w:space="0" w:color="000000"/>
              <w:bottom w:val="single" w:sz="4" w:space="0" w:color="000000"/>
              <w:end w:val="single" w:sz="4" w:space="0" w:color="000000"/>
            </w:tcBorders>
            <w:shd w:fill="CCCCCC" w:val="clear"/>
            <w:vAlign w:val="center"/>
          </w:tcPr>
          <w:p>
            <w:pPr>
              <w:pStyle w:val="Normal"/>
              <w:jc w:val="center"/>
              <w:rPr>
                <w:rFonts w:ascii="Arial" w:hAnsi="Arial" w:cs="Arial"/>
              </w:rPr>
            </w:pPr>
            <w:r>
              <w:rPr>
                <w:rFonts w:cs="Arial" w:ascii="Arial" w:hAnsi="Arial"/>
              </w:rPr>
              <w:t>4:15-4:30</w:t>
            </w:r>
          </w:p>
          <w:p>
            <w:pPr>
              <w:pStyle w:val="Normal"/>
              <w:jc w:val="center"/>
              <w:rPr>
                <w:rFonts w:ascii="Arial" w:hAnsi="Arial" w:cs="Arial"/>
              </w:rPr>
            </w:pPr>
            <w:r>
              <w:rPr>
                <w:rFonts w:cs="Arial" w:ascii="Arial" w:hAnsi="Arial"/>
              </w:rPr>
              <w:t>Mid-Afternoon Refreshments and Exhibits</w:t>
            </w:r>
          </w:p>
          <w:p>
            <w:pPr>
              <w:pStyle w:val="Normal"/>
              <w:jc w:val="center"/>
              <w:rPr>
                <w:rFonts w:ascii="Arial" w:hAnsi="Arial" w:cs="Arial"/>
              </w:rPr>
            </w:pPr>
            <w:r>
              <w:rPr>
                <w:rFonts w:cs="Arial" w:ascii="Arial" w:hAnsi="Arial"/>
              </w:rPr>
            </w:r>
          </w:p>
        </w:tc>
      </w:tr>
      <w:tr>
        <w:trPr/>
        <w:tc>
          <w:tcPr>
            <w:tcW w:w="180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4:30 – 6:00</w:t>
            </w:r>
          </w:p>
        </w:tc>
        <w:tc>
          <w:tcPr>
            <w:tcW w:w="8550" w:type="dxa"/>
            <w:tcBorders>
              <w:top w:val="single" w:sz="6" w:space="0" w:color="000000"/>
              <w:start w:val="single" w:sz="6" w:space="0" w:color="000000"/>
              <w:bottom w:val="single" w:sz="6" w:space="0" w:color="000000"/>
              <w:end w:val="single" w:sz="6" w:space="0" w:color="000000"/>
            </w:tcBorders>
            <w:shd w:fill="FFFFFF" w:val="clear"/>
          </w:tcPr>
          <w:p>
            <w:pPr>
              <w:pStyle w:val="BodyTextIndent"/>
              <w:snapToGrid w:val="false"/>
              <w:ind w:start="0" w:end="-180"/>
              <w:rPr>
                <w:rFonts w:ascii="Arial" w:hAnsi="Arial" w:cs="Arial"/>
                <w:sz w:val="20"/>
              </w:rPr>
            </w:pPr>
            <w:r>
              <w:rPr>
                <w:rFonts w:cs="Arial"/>
                <w:sz w:val="20"/>
              </w:rPr>
            </w:r>
          </w:p>
          <w:p>
            <w:pPr>
              <w:pStyle w:val="BodyTextIndent"/>
              <w:ind w:start="0" w:end="-180"/>
              <w:rPr>
                <w:b/>
                <w:sz w:val="20"/>
              </w:rPr>
            </w:pPr>
            <w:r>
              <w:rPr>
                <w:b/>
                <w:sz w:val="20"/>
              </w:rPr>
              <w:t>Oil &amp; Gas – How Do Higher Energy Prices Affect Investment in this Sector?</w:t>
            </w:r>
          </w:p>
          <w:p>
            <w:pPr>
              <w:pStyle w:val="BodyTextIndent"/>
              <w:ind w:start="0" w:end="72"/>
              <w:rPr>
                <w:sz w:val="20"/>
              </w:rPr>
            </w:pPr>
            <w:r>
              <w:rPr>
                <w:sz w:val="20"/>
              </w:rPr>
              <w:t>Petroleum and natural gas prices have surged dramatically from the lows seen throughout much of the 1990s.  While higher energy prices facilitate investment in exploration, generation and distribution, the burden of higher energy costs threaten Latin American economies already weakened by the slowdown in the U.S.  This session will examine the effects of higher energy prices on investment in Latin America.</w:t>
            </w:r>
          </w:p>
          <w:p>
            <w:pPr>
              <w:pStyle w:val="BodyText3"/>
              <w:numPr>
                <w:ilvl w:val="0"/>
                <w:numId w:val="11"/>
              </w:numPr>
              <w:rPr>
                <w:sz w:val="20"/>
              </w:rPr>
            </w:pPr>
            <w:r>
              <w:rPr>
                <w:sz w:val="20"/>
              </w:rPr>
              <w:t>Encouraging cross-border investment and cooperation</w:t>
            </w:r>
          </w:p>
          <w:p>
            <w:pPr>
              <w:pStyle w:val="BodyText3"/>
              <w:numPr>
                <w:ilvl w:val="0"/>
                <w:numId w:val="11"/>
              </w:numPr>
              <w:rPr>
                <w:sz w:val="20"/>
              </w:rPr>
            </w:pPr>
            <w:r>
              <w:rPr>
                <w:sz w:val="20"/>
              </w:rPr>
              <w:t>Reducing regional dependence on hydroelectric power</w:t>
            </w:r>
          </w:p>
          <w:p>
            <w:pPr>
              <w:pStyle w:val="BodyText3"/>
              <w:numPr>
                <w:ilvl w:val="0"/>
                <w:numId w:val="11"/>
              </w:numPr>
              <w:rPr>
                <w:sz w:val="20"/>
              </w:rPr>
            </w:pPr>
            <w:r>
              <w:rPr>
                <w:sz w:val="20"/>
              </w:rPr>
              <w:t>Identifying sources of financing for independent power production</w:t>
            </w:r>
          </w:p>
          <w:p>
            <w:pPr>
              <w:pStyle w:val="Header"/>
              <w:numPr>
                <w:ilvl w:val="0"/>
                <w:numId w:val="7"/>
              </w:numPr>
              <w:tabs>
                <w:tab w:val="clear" w:pos="4320"/>
                <w:tab w:val="clear" w:pos="8640"/>
                <w:tab w:val="left" w:pos="702" w:leader="none"/>
              </w:tabs>
              <w:ind w:hanging="360" w:start="702" w:end="0"/>
              <w:rPr>
                <w:rFonts w:ascii="Arial" w:hAnsi="Arial" w:cs="Arial"/>
                <w:i/>
                <w:i/>
              </w:rPr>
            </w:pPr>
            <w:r>
              <w:rPr>
                <w:rFonts w:cs="Arial" w:ascii="Arial" w:hAnsi="Arial"/>
              </w:rPr>
              <w:t>The effects of integrating regional power markets and global energy trading</w:t>
            </w:r>
          </w:p>
          <w:p>
            <w:pPr>
              <w:pStyle w:val="BodyTextIndent"/>
              <w:ind w:start="0" w:end="-180"/>
              <w:rPr>
                <w:rFonts w:ascii="Arial" w:hAnsi="Arial" w:cs="Arial"/>
                <w:b/>
                <w:i/>
                <w:i/>
                <w:sz w:val="20"/>
              </w:rPr>
            </w:pPr>
            <w:r>
              <w:rPr>
                <w:rFonts w:cs="Arial"/>
                <w:b/>
                <w:i/>
                <w:sz w:val="20"/>
              </w:rPr>
            </w:r>
          </w:p>
        </w:tc>
      </w:tr>
      <w:tr>
        <w:trPr/>
        <w:tc>
          <w:tcPr>
            <w:tcW w:w="180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b/>
                <w:sz w:val="20"/>
              </w:rPr>
            </w:pPr>
            <w:r>
              <w:rPr>
                <w:rFonts w:cs="Arial" w:ascii="Arial" w:hAnsi="Arial"/>
                <w:b/>
                <w:sz w:val="20"/>
              </w:rPr>
            </w:r>
          </w:p>
          <w:p>
            <w:pPr>
              <w:pStyle w:val="Header"/>
              <w:tabs>
                <w:tab w:val="clear" w:pos="4320"/>
                <w:tab w:val="clear" w:pos="8640"/>
              </w:tabs>
              <w:jc w:val="center"/>
              <w:rPr>
                <w:rFonts w:ascii="Arial" w:hAnsi="Arial" w:cs="Arial"/>
              </w:rPr>
            </w:pPr>
            <w:r>
              <w:rPr>
                <w:rFonts w:cs="Arial" w:ascii="Arial" w:hAnsi="Arial"/>
              </w:rPr>
              <w:t>4:30 – 6:00</w:t>
            </w:r>
          </w:p>
          <w:p>
            <w:pPr>
              <w:pStyle w:val="Header"/>
              <w:tabs>
                <w:tab w:val="clear" w:pos="4320"/>
                <w:tab w:val="clear" w:pos="8640"/>
              </w:tabs>
              <w:jc w:val="center"/>
              <w:rPr>
                <w:rFonts w:ascii="Arial" w:hAnsi="Arial" w:cs="Arial"/>
              </w:rPr>
            </w:pPr>
            <w:r>
              <w:rPr>
                <w:rFonts w:cs="Arial" w:ascii="Arial" w:hAnsi="Arial"/>
              </w:rPr>
            </w:r>
          </w:p>
          <w:p>
            <w:pPr>
              <w:pStyle w:val="Header"/>
              <w:tabs>
                <w:tab w:val="clear" w:pos="4320"/>
                <w:tab w:val="clear" w:pos="8640"/>
              </w:tabs>
              <w:jc w:val="center"/>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shd w:fill="FFFFFF" w:val="clear"/>
          </w:tcPr>
          <w:p>
            <w:pPr>
              <w:pStyle w:val="BodyTextIndent"/>
              <w:snapToGrid w:val="false"/>
              <w:ind w:start="0" w:end="-180"/>
              <w:rPr>
                <w:rFonts w:ascii="Arial" w:hAnsi="Arial" w:cs="Arial"/>
                <w:b/>
                <w:sz w:val="20"/>
              </w:rPr>
            </w:pPr>
            <w:r>
              <w:rPr>
                <w:rFonts w:cs="Arial"/>
                <w:b/>
                <w:sz w:val="20"/>
              </w:rPr>
            </w:r>
          </w:p>
          <w:p>
            <w:pPr>
              <w:pStyle w:val="BodyTextIndent"/>
              <w:ind w:start="0" w:end="-180"/>
              <w:rPr>
                <w:b/>
                <w:sz w:val="20"/>
              </w:rPr>
            </w:pPr>
            <w:r>
              <w:rPr>
                <w:b/>
                <w:sz w:val="20"/>
              </w:rPr>
              <w:t>Attracting Investment in Mining Projects</w:t>
            </w:r>
          </w:p>
          <w:p>
            <w:pPr>
              <w:pStyle w:val="BodyTextIndent"/>
              <w:ind w:start="0" w:end="72"/>
              <w:rPr>
                <w:sz w:val="20"/>
              </w:rPr>
            </w:pPr>
            <w:r>
              <w:rPr>
                <w:sz w:val="20"/>
              </w:rPr>
              <w:t>Mineral deposits represent an immense source of capital for much of Latin America.  This session explores strategies for utilizing these assets to promote economic development in the region.  These prominent experts from the mining sector will also identify areas of interest for foreign investment.</w:t>
            </w:r>
          </w:p>
          <w:p>
            <w:pPr>
              <w:pStyle w:val="Header"/>
              <w:numPr>
                <w:ilvl w:val="0"/>
                <w:numId w:val="7"/>
              </w:numPr>
              <w:tabs>
                <w:tab w:val="clear" w:pos="4320"/>
                <w:tab w:val="clear" w:pos="8640"/>
                <w:tab w:val="left" w:pos="702" w:leader="none"/>
              </w:tabs>
              <w:ind w:hanging="360" w:start="702" w:end="0"/>
              <w:rPr>
                <w:rFonts w:ascii="Arial" w:hAnsi="Arial" w:cs="Arial"/>
                <w:i/>
                <w:i/>
              </w:rPr>
            </w:pPr>
            <w:r>
              <w:rPr>
                <w:rFonts w:cs="Arial" w:ascii="Arial" w:hAnsi="Arial"/>
              </w:rPr>
              <w:t>Current policies for attracting private sector involvement</w:t>
            </w:r>
          </w:p>
          <w:p>
            <w:pPr>
              <w:pStyle w:val="Header"/>
              <w:numPr>
                <w:ilvl w:val="0"/>
                <w:numId w:val="7"/>
              </w:numPr>
              <w:tabs>
                <w:tab w:val="clear" w:pos="4320"/>
                <w:tab w:val="clear" w:pos="8640"/>
                <w:tab w:val="left" w:pos="702" w:leader="none"/>
              </w:tabs>
              <w:ind w:hanging="360" w:start="702" w:end="0"/>
              <w:rPr>
                <w:rFonts w:ascii="Arial" w:hAnsi="Arial" w:cs="Arial"/>
                <w:i/>
                <w:i/>
              </w:rPr>
            </w:pPr>
            <w:r>
              <w:rPr>
                <w:rFonts w:cs="Arial" w:ascii="Arial" w:hAnsi="Arial"/>
              </w:rPr>
              <w:t>Realigning property and mineral rights to encourage development</w:t>
            </w:r>
          </w:p>
          <w:p>
            <w:pPr>
              <w:pStyle w:val="Header"/>
              <w:numPr>
                <w:ilvl w:val="0"/>
                <w:numId w:val="7"/>
              </w:numPr>
              <w:tabs>
                <w:tab w:val="clear" w:pos="4320"/>
                <w:tab w:val="clear" w:pos="8640"/>
                <w:tab w:val="left" w:pos="702" w:leader="none"/>
              </w:tabs>
              <w:ind w:hanging="360" w:start="702" w:end="0"/>
              <w:rPr>
                <w:rFonts w:ascii="Arial" w:hAnsi="Arial" w:cs="Arial"/>
                <w:i/>
                <w:i/>
              </w:rPr>
            </w:pPr>
            <w:r>
              <w:rPr>
                <w:rFonts w:cs="Arial" w:ascii="Arial" w:hAnsi="Arial"/>
              </w:rPr>
              <w:t>Assessing the success of privatization in mining and natural resources</w:t>
            </w:r>
          </w:p>
          <w:p>
            <w:pPr>
              <w:pStyle w:val="BodyTextIndent"/>
              <w:ind w:start="0" w:end="-180"/>
              <w:rPr>
                <w:rFonts w:ascii="Arial" w:hAnsi="Arial" w:cs="Arial"/>
                <w:b/>
                <w:i/>
                <w:i/>
                <w:sz w:val="20"/>
              </w:rPr>
            </w:pPr>
            <w:r>
              <w:rPr>
                <w:rFonts w:cs="Arial"/>
                <w:b/>
                <w:i/>
                <w:sz w:val="20"/>
              </w:rPr>
            </w:r>
          </w:p>
        </w:tc>
      </w:tr>
      <w:tr>
        <w:trPr/>
        <w:tc>
          <w:tcPr>
            <w:tcW w:w="10350"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snapToGrid w:val="false"/>
              <w:jc w:val="center"/>
              <w:rPr>
                <w:rFonts w:ascii="Arial" w:hAnsi="Arial" w:cs="Arial"/>
                <w:b/>
                <w:sz w:val="20"/>
              </w:rPr>
            </w:pPr>
            <w:r>
              <w:rPr>
                <w:rFonts w:cs="Arial" w:ascii="Arial" w:hAnsi="Arial"/>
                <w:b/>
                <w:sz w:val="20"/>
              </w:rPr>
            </w:r>
          </w:p>
          <w:p>
            <w:pPr>
              <w:pStyle w:val="Normal"/>
              <w:jc w:val="center"/>
              <w:rPr>
                <w:rFonts w:ascii="Arial" w:hAnsi="Arial" w:cs="Arial"/>
              </w:rPr>
            </w:pPr>
            <w:r>
              <w:rPr>
                <w:rFonts w:cs="Arial" w:ascii="Arial" w:hAnsi="Arial"/>
              </w:rPr>
              <w:t>6:15</w:t>
            </w:r>
          </w:p>
          <w:p>
            <w:pPr>
              <w:pStyle w:val="Normal"/>
              <w:jc w:val="center"/>
              <w:rPr>
                <w:rFonts w:ascii="Arial" w:hAnsi="Arial" w:cs="Arial"/>
              </w:rPr>
            </w:pPr>
            <w:r>
              <w:rPr>
                <w:rFonts w:cs="Arial" w:ascii="Arial" w:hAnsi="Arial"/>
              </w:rPr>
              <w:t>End of Day 2</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6:15-8:15</w:t>
            </w:r>
          </w:p>
          <w:p>
            <w:pPr>
              <w:pStyle w:val="Normal"/>
              <w:jc w:val="center"/>
              <w:rPr>
                <w:rFonts w:ascii="Arial" w:hAnsi="Arial" w:cs="Arial"/>
              </w:rPr>
            </w:pPr>
            <w:r>
              <w:rPr>
                <w:rFonts w:cs="Arial" w:ascii="Arial" w:hAnsi="Arial"/>
              </w:rPr>
              <w:t>Cocktail Reception</w:t>
            </w:r>
          </w:p>
          <w:p>
            <w:pPr>
              <w:pStyle w:val="Normal"/>
              <w:jc w:val="center"/>
              <w:rPr>
                <w:rFonts w:ascii="Arial" w:hAnsi="Arial" w:cs="Arial"/>
              </w:rPr>
            </w:pPr>
            <w:r>
              <w:rPr>
                <w:rFonts w:cs="Arial" w:ascii="Arial" w:hAnsi="Arial"/>
              </w:rPr>
            </w:r>
          </w:p>
        </w:tc>
      </w:tr>
    </w:tbl>
    <w:p>
      <w:pPr>
        <w:pStyle w:val="Normal"/>
        <w:rPr/>
      </w:pPr>
      <w:r>
        <w:rPr/>
      </w:r>
      <w:r>
        <w:br w:type="page"/>
      </w:r>
    </w:p>
    <w:p>
      <w:pPr>
        <w:pStyle w:val="Normal"/>
        <w:rPr/>
      </w:pPr>
      <w:r>
        <w:rPr/>
      </w:r>
    </w:p>
    <w:tbl>
      <w:tblPr>
        <w:tblW w:w="10170" w:type="dxa"/>
        <w:jc w:val="start"/>
        <w:tblInd w:w="108" w:type="dxa"/>
        <w:tblLayout w:type="fixed"/>
        <w:tblCellMar>
          <w:top w:w="0" w:type="dxa"/>
          <w:start w:w="108" w:type="dxa"/>
          <w:bottom w:w="0" w:type="dxa"/>
          <w:end w:w="108" w:type="dxa"/>
        </w:tblCellMar>
      </w:tblPr>
      <w:tblGrid>
        <w:gridCol w:w="1620"/>
        <w:gridCol w:w="8550"/>
      </w:tblGrid>
      <w:tr>
        <w:trPr/>
        <w:tc>
          <w:tcPr>
            <w:tcW w:w="101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p>
            <w:pPr>
              <w:pStyle w:val="Header"/>
              <w:tabs>
                <w:tab w:val="clear" w:pos="4320"/>
                <w:tab w:val="clear" w:pos="8640"/>
              </w:tabs>
              <w:jc w:val="center"/>
              <w:rPr>
                <w:rFonts w:ascii="Arial" w:hAnsi="Arial" w:cs="Arial"/>
                <w:b/>
              </w:rPr>
            </w:pPr>
            <w:r>
              <w:rPr>
                <w:rFonts w:cs="Arial" w:ascii="Arial" w:hAnsi="Arial"/>
                <w:b/>
              </w:rPr>
              <w:t>Day Three</w:t>
            </w:r>
          </w:p>
          <w:p>
            <w:pPr>
              <w:pStyle w:val="Header"/>
              <w:tabs>
                <w:tab w:val="clear" w:pos="4320"/>
                <w:tab w:val="clear" w:pos="8640"/>
              </w:tabs>
              <w:rPr>
                <w:rFonts w:ascii="Arial" w:hAnsi="Arial" w:cs="Arial"/>
                <w:b/>
              </w:rPr>
            </w:pPr>
            <w:r>
              <w:rPr>
                <w:rFonts w:cs="Arial" w:ascii="Arial" w:hAnsi="Arial"/>
                <w:b/>
              </w:rPr>
            </w:r>
          </w:p>
        </w:tc>
      </w:tr>
      <w:tr>
        <w:trPr>
          <w:trHeight w:val="782" w:hRule="atLeast"/>
        </w:trPr>
        <w:tc>
          <w:tcPr>
            <w:tcW w:w="1620" w:type="dxa"/>
            <w:tcBorders>
              <w:top w:val="single" w:sz="6" w:space="0" w:color="000000"/>
              <w:start w:val="single" w:sz="4" w:space="0" w:color="000000"/>
              <w:bottom w:val="single" w:sz="4" w:space="0" w:color="000000"/>
              <w:end w:val="single" w:sz="4" w:space="0" w:color="000000"/>
            </w:tcBorders>
            <w:shd w:fill="FFFFFF"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9:00 – 10:00</w:t>
            </w:r>
          </w:p>
        </w:tc>
        <w:tc>
          <w:tcPr>
            <w:tcW w:w="8550" w:type="dxa"/>
            <w:tcBorders>
              <w:top w:val="single" w:sz="6" w:space="0" w:color="000000"/>
              <w:start w:val="single" w:sz="4" w:space="0" w:color="000000"/>
              <w:bottom w:val="single" w:sz="4" w:space="0" w:color="000000"/>
              <w:end w:val="single" w:sz="4" w:space="0" w:color="000000"/>
            </w:tcBorders>
            <w:shd w:fill="FFFFFF" w:val="clear"/>
          </w:tcPr>
          <w:p>
            <w:pPr>
              <w:pStyle w:val="BodyTextIndent"/>
              <w:snapToGrid w:val="false"/>
              <w:ind w:start="0" w:end="-180"/>
              <w:rPr>
                <w:rFonts w:ascii="Arial" w:hAnsi="Arial" w:cs="Arial"/>
                <w:b/>
                <w:color w:val="000000"/>
                <w:sz w:val="20"/>
              </w:rPr>
            </w:pPr>
            <w:r>
              <w:rPr>
                <w:rFonts w:cs="Arial"/>
                <w:b/>
                <w:color w:val="000000"/>
                <w:sz w:val="20"/>
              </w:rPr>
            </w:r>
          </w:p>
          <w:p>
            <w:pPr>
              <w:pStyle w:val="BodyTextIndent"/>
              <w:ind w:start="0" w:end="0"/>
              <w:rPr>
                <w:b/>
                <w:sz w:val="20"/>
              </w:rPr>
            </w:pPr>
            <w:r>
              <w:rPr>
                <w:b/>
                <w:sz w:val="20"/>
              </w:rPr>
              <w:t>The Telecommunications (and Internet) Revolution in Latin America</w:t>
            </w:r>
          </w:p>
          <w:p>
            <w:pPr>
              <w:pStyle w:val="BodyTextIndent"/>
              <w:ind w:start="0" w:end="0"/>
              <w:rPr>
                <w:sz w:val="20"/>
              </w:rPr>
            </w:pPr>
            <w:r>
              <w:rPr>
                <w:sz w:val="20"/>
              </w:rPr>
              <w:t>This session will discuss how the Telecom Revolution is affecting Latin American society.  Internet and wireless usage is growing at a faster pace in Latin America than anywhere else in the world.  Are these rapid technological advances providing new opportunities for developing economies or are they producing wider gaps between the “haves” and “have nots”?</w:t>
            </w:r>
          </w:p>
          <w:p>
            <w:pPr>
              <w:pStyle w:val="Header"/>
              <w:numPr>
                <w:ilvl w:val="0"/>
                <w:numId w:val="7"/>
              </w:numPr>
              <w:tabs>
                <w:tab w:val="clear" w:pos="4320"/>
                <w:tab w:val="clear" w:pos="8640"/>
                <w:tab w:val="left" w:pos="702" w:leader="none"/>
              </w:tabs>
              <w:ind w:hanging="360" w:start="702" w:end="0"/>
              <w:rPr>
                <w:rFonts w:ascii="Arial" w:hAnsi="Arial" w:cs="Arial"/>
                <w:i/>
                <w:i/>
              </w:rPr>
            </w:pPr>
            <w:r>
              <w:rPr>
                <w:rFonts w:cs="Arial" w:ascii="Arial" w:hAnsi="Arial"/>
              </w:rPr>
              <w:t>How are regulatory policies evolving?</w:t>
            </w:r>
          </w:p>
          <w:p>
            <w:pPr>
              <w:pStyle w:val="Header"/>
              <w:numPr>
                <w:ilvl w:val="0"/>
                <w:numId w:val="7"/>
              </w:numPr>
              <w:tabs>
                <w:tab w:val="clear" w:pos="4320"/>
                <w:tab w:val="clear" w:pos="8640"/>
                <w:tab w:val="left" w:pos="702" w:leader="none"/>
              </w:tabs>
              <w:ind w:hanging="360" w:start="702" w:end="0"/>
              <w:rPr>
                <w:rFonts w:ascii="Arial" w:hAnsi="Arial" w:cs="Arial"/>
                <w:i/>
                <w:i/>
              </w:rPr>
            </w:pPr>
            <w:r>
              <w:rPr>
                <w:rFonts w:cs="Arial" w:ascii="Arial" w:hAnsi="Arial"/>
              </w:rPr>
              <w:t>Encouraging local competition in telecom services</w:t>
            </w:r>
          </w:p>
          <w:p>
            <w:pPr>
              <w:pStyle w:val="Header"/>
              <w:numPr>
                <w:ilvl w:val="0"/>
                <w:numId w:val="7"/>
              </w:numPr>
              <w:tabs>
                <w:tab w:val="clear" w:pos="4320"/>
                <w:tab w:val="clear" w:pos="8640"/>
                <w:tab w:val="left" w:pos="702" w:leader="none"/>
              </w:tabs>
              <w:ind w:hanging="360" w:start="702" w:end="0"/>
              <w:rPr>
                <w:rFonts w:ascii="Arial" w:hAnsi="Arial" w:cs="Arial"/>
                <w:i/>
                <w:i/>
              </w:rPr>
            </w:pPr>
            <w:r>
              <w:rPr>
                <w:rFonts w:cs="Arial" w:ascii="Arial" w:hAnsi="Arial"/>
              </w:rPr>
              <w:t>Successful strategies for promoting universal access</w:t>
            </w:r>
          </w:p>
          <w:p>
            <w:pPr>
              <w:pStyle w:val="Header"/>
              <w:numPr>
                <w:ilvl w:val="0"/>
                <w:numId w:val="7"/>
              </w:numPr>
              <w:tabs>
                <w:tab w:val="clear" w:pos="4320"/>
                <w:tab w:val="clear" w:pos="8640"/>
                <w:tab w:val="left" w:pos="702" w:leader="none"/>
              </w:tabs>
              <w:ind w:hanging="360" w:start="702" w:end="0"/>
              <w:rPr>
                <w:rFonts w:ascii="Arial" w:hAnsi="Arial" w:cs="Arial"/>
                <w:i/>
                <w:i/>
              </w:rPr>
            </w:pPr>
            <w:r>
              <w:rPr>
                <w:rFonts w:cs="Arial" w:ascii="Arial" w:hAnsi="Arial"/>
              </w:rPr>
              <w:t>Allocating spectrum regionally and internationally to foster integrated network development</w:t>
            </w:r>
          </w:p>
          <w:p>
            <w:pPr>
              <w:pStyle w:val="Header"/>
              <w:tabs>
                <w:tab w:val="clear" w:pos="4320"/>
                <w:tab w:val="clear" w:pos="8640"/>
              </w:tabs>
              <w:ind w:start="342" w:end="0"/>
              <w:rPr>
                <w:rFonts w:ascii="Arial" w:hAnsi="Arial" w:cs="Arial"/>
                <w:i/>
                <w:i/>
                <w:lang w:val="es-AR"/>
              </w:rPr>
            </w:pPr>
            <w:r>
              <w:rPr>
                <w:rFonts w:cs="Arial" w:ascii="Arial" w:hAnsi="Arial"/>
                <w:i/>
                <w:lang w:val="es-AR"/>
              </w:rPr>
            </w:r>
          </w:p>
        </w:tc>
      </w:tr>
      <w:tr>
        <w:trPr>
          <w:trHeight w:val="782" w:hRule="atLeast"/>
        </w:trPr>
        <w:tc>
          <w:tcPr>
            <w:tcW w:w="1620" w:type="dxa"/>
            <w:tcBorders>
              <w:top w:val="single" w:sz="6" w:space="0" w:color="000000"/>
              <w:start w:val="single" w:sz="4" w:space="0" w:color="000000"/>
              <w:bottom w:val="single" w:sz="4" w:space="0" w:color="000000"/>
              <w:end w:val="single" w:sz="4" w:space="0" w:color="000000"/>
            </w:tcBorders>
            <w:shd w:fill="FFFFFF" w:val="clear"/>
          </w:tcPr>
          <w:p>
            <w:pPr>
              <w:pStyle w:val="Normal"/>
              <w:snapToGrid w:val="false"/>
              <w:rPr>
                <w:rFonts w:ascii="Arial" w:hAnsi="Arial" w:cs="Arial"/>
                <w:lang w:val="es-AR"/>
              </w:rPr>
            </w:pPr>
            <w:r>
              <w:rPr>
                <w:rFonts w:cs="Arial" w:ascii="Arial" w:hAnsi="Arial"/>
                <w:lang w:val="es-AR"/>
              </w:rPr>
            </w:r>
          </w:p>
          <w:p>
            <w:pPr>
              <w:pStyle w:val="Normal"/>
              <w:jc w:val="center"/>
              <w:rPr>
                <w:rFonts w:ascii="Arial" w:hAnsi="Arial" w:cs="Arial"/>
              </w:rPr>
            </w:pPr>
            <w:r>
              <w:rPr>
                <w:rFonts w:cs="Arial" w:ascii="Arial" w:hAnsi="Arial"/>
              </w:rPr>
              <w:t>10:00 – 11:30</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tc>
        <w:tc>
          <w:tcPr>
            <w:tcW w:w="8550" w:type="dxa"/>
            <w:tcBorders>
              <w:top w:val="single" w:sz="6" w:space="0" w:color="000000"/>
              <w:start w:val="single" w:sz="4" w:space="0" w:color="000000"/>
              <w:bottom w:val="single" w:sz="4" w:space="0" w:color="000000"/>
              <w:end w:val="single" w:sz="4" w:space="0" w:color="000000"/>
            </w:tcBorders>
            <w:shd w:fill="FFFFFF" w:val="clear"/>
          </w:tcPr>
          <w:p>
            <w:pPr>
              <w:pStyle w:val="BodyTextIndent"/>
              <w:snapToGrid w:val="false"/>
              <w:ind w:end="882"/>
              <w:rPr>
                <w:rFonts w:ascii="Arial" w:hAnsi="Arial" w:cs="Arial"/>
                <w:b/>
                <w:sz w:val="20"/>
              </w:rPr>
            </w:pPr>
            <w:r>
              <w:rPr>
                <w:rFonts w:cs="Arial"/>
                <w:b/>
                <w:sz w:val="20"/>
              </w:rPr>
            </w:r>
          </w:p>
          <w:p>
            <w:pPr>
              <w:pStyle w:val="BodyTextIndent"/>
              <w:ind w:start="0" w:end="-180"/>
              <w:rPr>
                <w:b/>
                <w:sz w:val="20"/>
              </w:rPr>
            </w:pPr>
            <w:r>
              <w:rPr>
                <w:b/>
                <w:sz w:val="20"/>
              </w:rPr>
              <w:t>Investing in Latin American Telecom Infrastructure</w:t>
            </w:r>
          </w:p>
          <w:p>
            <w:pPr>
              <w:pStyle w:val="Header"/>
              <w:tabs>
                <w:tab w:val="clear" w:pos="4320"/>
                <w:tab w:val="clear" w:pos="8640"/>
              </w:tabs>
              <w:rPr>
                <w:rFonts w:ascii="Arial" w:hAnsi="Arial" w:cs="Arial"/>
              </w:rPr>
            </w:pPr>
            <w:r>
              <w:rPr>
                <w:rFonts w:cs="Arial" w:ascii="Arial" w:hAnsi="Arial"/>
              </w:rPr>
              <w:t>Despite drastic re-valuations of telecom assets in global markets, the demand for broadband and other telecom services in Latin American continues to grow rapidly.  Leading telecom executives explain their strategies for financing the continued development of Latin America’s telecom infrastructure.</w:t>
            </w:r>
          </w:p>
          <w:p>
            <w:pPr>
              <w:pStyle w:val="Header"/>
              <w:numPr>
                <w:ilvl w:val="0"/>
                <w:numId w:val="7"/>
              </w:numPr>
              <w:tabs>
                <w:tab w:val="clear" w:pos="4320"/>
                <w:tab w:val="clear" w:pos="8640"/>
                <w:tab w:val="left" w:pos="702" w:leader="none"/>
              </w:tabs>
              <w:ind w:hanging="360" w:start="702" w:end="0"/>
              <w:rPr>
                <w:rFonts w:ascii="Arial" w:hAnsi="Arial" w:cs="Arial"/>
                <w:i/>
                <w:i/>
              </w:rPr>
            </w:pPr>
            <w:r>
              <w:rPr>
                <w:rFonts w:cs="Arial" w:ascii="Arial" w:hAnsi="Arial"/>
              </w:rPr>
              <w:t>The growing demand for cellular and next-generation wireless services</w:t>
            </w:r>
          </w:p>
          <w:p>
            <w:pPr>
              <w:pStyle w:val="Header"/>
              <w:numPr>
                <w:ilvl w:val="0"/>
                <w:numId w:val="7"/>
              </w:numPr>
              <w:tabs>
                <w:tab w:val="clear" w:pos="4320"/>
                <w:tab w:val="clear" w:pos="8640"/>
                <w:tab w:val="left" w:pos="702" w:leader="none"/>
              </w:tabs>
              <w:ind w:hanging="360" w:start="702" w:end="0"/>
              <w:rPr>
                <w:rFonts w:ascii="Arial" w:hAnsi="Arial" w:cs="Arial"/>
                <w:i/>
                <w:i/>
              </w:rPr>
            </w:pPr>
            <w:r>
              <w:rPr>
                <w:rFonts w:cs="Arial" w:ascii="Arial" w:hAnsi="Arial"/>
              </w:rPr>
              <w:t>Selecting Latin American markets for telecom investments</w:t>
            </w:r>
          </w:p>
          <w:p>
            <w:pPr>
              <w:pStyle w:val="Header"/>
              <w:numPr>
                <w:ilvl w:val="0"/>
                <w:numId w:val="7"/>
              </w:numPr>
              <w:tabs>
                <w:tab w:val="clear" w:pos="4320"/>
                <w:tab w:val="clear" w:pos="8640"/>
                <w:tab w:val="left" w:pos="702" w:leader="none"/>
              </w:tabs>
              <w:ind w:hanging="360" w:start="702" w:end="0"/>
              <w:rPr>
                <w:rFonts w:ascii="Arial" w:hAnsi="Arial" w:cs="Arial"/>
                <w:i/>
                <w:i/>
                <w:sz w:val="22"/>
              </w:rPr>
            </w:pPr>
            <w:r>
              <w:rPr>
                <w:rFonts w:cs="Arial" w:ascii="Arial" w:hAnsi="Arial"/>
                <w:color w:val="000000"/>
              </w:rPr>
              <w:t>Are local and international capital markets available for financing telecom investments?</w:t>
            </w:r>
          </w:p>
          <w:p>
            <w:pPr>
              <w:pStyle w:val="Header"/>
              <w:numPr>
                <w:ilvl w:val="0"/>
                <w:numId w:val="7"/>
              </w:numPr>
              <w:tabs>
                <w:tab w:val="clear" w:pos="4320"/>
                <w:tab w:val="clear" w:pos="8640"/>
                <w:tab w:val="left" w:pos="702" w:leader="none"/>
              </w:tabs>
              <w:ind w:hanging="360" w:start="702" w:end="0"/>
              <w:rPr>
                <w:rFonts w:ascii="Arial" w:hAnsi="Arial" w:cs="Arial"/>
                <w:i/>
                <w:i/>
                <w:sz w:val="22"/>
              </w:rPr>
            </w:pPr>
            <w:r>
              <w:rPr>
                <w:rFonts w:cs="Arial" w:ascii="Arial" w:hAnsi="Arial"/>
                <w:color w:val="000000"/>
              </w:rPr>
              <w:t>Financing and building regional telecom networks and last-mile access technologies</w:t>
            </w:r>
          </w:p>
          <w:p>
            <w:pPr>
              <w:pStyle w:val="BodyText3"/>
              <w:rPr>
                <w:rFonts w:ascii="Arial" w:hAnsi="Arial" w:cs="Arial"/>
                <w:i/>
                <w:i/>
                <w:sz w:val="22"/>
              </w:rPr>
            </w:pPr>
            <w:r>
              <w:rPr>
                <w:rFonts w:cs="Arial"/>
                <w:i/>
                <w:sz w:val="22"/>
              </w:rPr>
            </w:r>
          </w:p>
        </w:tc>
      </w:tr>
      <w:tr>
        <w:trPr>
          <w:trHeight w:val="732" w:hRule="atLeast"/>
        </w:trPr>
        <w:tc>
          <w:tcPr>
            <w:tcW w:w="10170" w:type="dxa"/>
            <w:gridSpan w:val="2"/>
            <w:tcBorders>
              <w:top w:val="single" w:sz="6" w:space="0" w:color="000000"/>
              <w:start w:val="single" w:sz="6" w:space="0" w:color="000000"/>
              <w:bottom w:val="single" w:sz="6" w:space="0" w:color="000000"/>
              <w:end w:val="single" w:sz="6" w:space="0" w:color="000000"/>
            </w:tcBorders>
            <w:shd w:fill="CCCCCC" w:val="clear"/>
          </w:tcPr>
          <w:p>
            <w:pPr>
              <w:pStyle w:val="BodyTextIndent"/>
              <w:snapToGrid w:val="false"/>
              <w:ind w:start="0" w:end="-180"/>
              <w:jc w:val="center"/>
              <w:rPr>
                <w:sz w:val="20"/>
              </w:rPr>
            </w:pPr>
            <w:r>
              <w:rPr>
                <w:sz w:val="20"/>
              </w:rPr>
            </w:r>
          </w:p>
          <w:p>
            <w:pPr>
              <w:pStyle w:val="BodyTextIndent"/>
              <w:ind w:start="0" w:end="-180"/>
              <w:jc w:val="center"/>
              <w:rPr>
                <w:sz w:val="20"/>
              </w:rPr>
            </w:pPr>
            <w:r>
              <w:rPr>
                <w:sz w:val="20"/>
              </w:rPr>
              <w:t>11:30 – 11:45</w:t>
            </w:r>
          </w:p>
          <w:p>
            <w:pPr>
              <w:pStyle w:val="BodyTextIndent"/>
              <w:ind w:start="0" w:end="-180"/>
              <w:jc w:val="center"/>
              <w:rPr>
                <w:sz w:val="20"/>
              </w:rPr>
            </w:pPr>
            <w:r>
              <w:rPr>
                <w:sz w:val="20"/>
              </w:rPr>
              <w:t>Refreshment Break</w:t>
            </w:r>
          </w:p>
          <w:p>
            <w:pPr>
              <w:pStyle w:val="BodyTextIndent"/>
              <w:ind w:start="0" w:end="-180"/>
              <w:jc w:val="center"/>
              <w:rPr>
                <w:b/>
                <w:sz w:val="20"/>
              </w:rPr>
            </w:pPr>
            <w:r>
              <w:rPr>
                <w:b/>
                <w:sz w:val="20"/>
              </w:rPr>
            </w:r>
          </w:p>
        </w:tc>
      </w:tr>
      <w:tr>
        <w:trPr>
          <w:trHeight w:val="1515" w:hRule="atLeast"/>
        </w:trPr>
        <w:tc>
          <w:tcPr>
            <w:tcW w:w="1620"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jc w:val="center"/>
              <w:rPr>
                <w:rFonts w:ascii="Arial" w:hAnsi="Arial" w:cs="Arial"/>
                <w:b/>
                <w:sz w:val="20"/>
              </w:rPr>
            </w:pPr>
            <w:r>
              <w:rPr>
                <w:rFonts w:cs="Arial" w:ascii="Arial" w:hAnsi="Arial"/>
                <w:b/>
                <w:sz w:val="20"/>
              </w:rPr>
            </w:r>
          </w:p>
          <w:p>
            <w:pPr>
              <w:pStyle w:val="Normal"/>
              <w:jc w:val="center"/>
              <w:rPr>
                <w:rFonts w:ascii="Arial" w:hAnsi="Arial" w:cs="Arial"/>
              </w:rPr>
            </w:pPr>
            <w:r>
              <w:rPr>
                <w:rFonts w:cs="Arial" w:ascii="Arial" w:hAnsi="Arial"/>
              </w:rPr>
              <w:t>11:45 – 1:00</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4" w:space="0" w:color="000000"/>
              <w:start w:val="single" w:sz="4" w:space="0" w:color="000000"/>
              <w:bottom w:val="single" w:sz="4" w:space="0" w:color="000000"/>
              <w:end w:val="single" w:sz="4" w:space="0" w:color="000000"/>
            </w:tcBorders>
            <w:shd w:fill="FFFFFF" w:val="clear"/>
          </w:tcPr>
          <w:p>
            <w:pPr>
              <w:pStyle w:val="BodyTextIndent"/>
              <w:snapToGrid w:val="false"/>
              <w:ind w:start="0" w:end="-180"/>
              <w:rPr>
                <w:rFonts w:ascii="Arial" w:hAnsi="Arial" w:cs="Arial"/>
                <w:b/>
                <w:sz w:val="20"/>
              </w:rPr>
            </w:pPr>
            <w:r>
              <w:rPr>
                <w:rFonts w:cs="Arial"/>
                <w:b/>
                <w:sz w:val="20"/>
              </w:rPr>
            </w:r>
          </w:p>
          <w:p>
            <w:pPr>
              <w:pStyle w:val="BodyTextIndent"/>
              <w:ind w:start="0" w:end="-180"/>
              <w:rPr>
                <w:b/>
                <w:sz w:val="20"/>
              </w:rPr>
            </w:pPr>
            <w:r>
              <w:rPr>
                <w:b/>
                <w:sz w:val="20"/>
              </w:rPr>
              <w:t>The Future of Communications - Addressing the Growing Demand for Internet Access</w:t>
            </w:r>
          </w:p>
          <w:p>
            <w:pPr>
              <w:pStyle w:val="BodyTextIndent"/>
              <w:ind w:start="0" w:end="-180"/>
              <w:rPr>
                <w:sz w:val="20"/>
              </w:rPr>
            </w:pPr>
            <w:r>
              <w:rPr>
                <w:sz w:val="20"/>
              </w:rPr>
              <w:t>Latin America has often been labeled the world’s fastest growing market for Internet usage.  This session will discuss whether the region’s infrastructure is keeping up with the exploding demand for broadband and wireless communications.</w:t>
            </w:r>
          </w:p>
          <w:p>
            <w:pPr>
              <w:pStyle w:val="BodyTextIndent"/>
              <w:numPr>
                <w:ilvl w:val="0"/>
                <w:numId w:val="3"/>
              </w:numPr>
              <w:ind w:hanging="18" w:start="360" w:end="-180"/>
              <w:rPr>
                <w:b/>
                <w:sz w:val="20"/>
              </w:rPr>
            </w:pPr>
            <w:r>
              <w:rPr>
                <w:sz w:val="20"/>
              </w:rPr>
              <w:t>The growing need for broadband</w:t>
            </w:r>
          </w:p>
          <w:p>
            <w:pPr>
              <w:pStyle w:val="BodyTextIndent"/>
              <w:numPr>
                <w:ilvl w:val="0"/>
                <w:numId w:val="3"/>
              </w:numPr>
              <w:ind w:hanging="18" w:start="360" w:end="-180"/>
              <w:rPr>
                <w:sz w:val="20"/>
              </w:rPr>
            </w:pPr>
            <w:r>
              <w:rPr>
                <w:sz w:val="20"/>
              </w:rPr>
              <w:t>Accessing the Internet through wireless devices</w:t>
            </w:r>
          </w:p>
          <w:p>
            <w:pPr>
              <w:pStyle w:val="BodyTextIndent"/>
              <w:numPr>
                <w:ilvl w:val="0"/>
                <w:numId w:val="3"/>
              </w:numPr>
              <w:ind w:hanging="18" w:start="360" w:end="-180"/>
              <w:rPr>
                <w:b/>
                <w:sz w:val="20"/>
              </w:rPr>
            </w:pPr>
            <w:r>
              <w:rPr>
                <w:sz w:val="20"/>
              </w:rPr>
              <w:t>The development of web hosting services and data centers</w:t>
            </w:r>
          </w:p>
          <w:p>
            <w:pPr>
              <w:pStyle w:val="BodyTextIndent"/>
              <w:numPr>
                <w:ilvl w:val="0"/>
                <w:numId w:val="3"/>
              </w:numPr>
              <w:ind w:hanging="18" w:start="360" w:end="-180"/>
              <w:rPr>
                <w:sz w:val="20"/>
              </w:rPr>
            </w:pPr>
            <w:r>
              <w:rPr>
                <w:sz w:val="20"/>
              </w:rPr>
              <w:t>Developing applications to improve the Interenet</w:t>
            </w:r>
          </w:p>
          <w:p>
            <w:pPr>
              <w:pStyle w:val="Normal"/>
              <w:rPr>
                <w:sz w:val="20"/>
              </w:rPr>
            </w:pPr>
            <w:r>
              <w:rPr>
                <w:sz w:val="20"/>
              </w:rPr>
            </w:r>
          </w:p>
        </w:tc>
      </w:tr>
      <w:tr>
        <w:trPr>
          <w:trHeight w:val="732" w:hRule="atLeast"/>
        </w:trPr>
        <w:tc>
          <w:tcPr>
            <w:tcW w:w="10170" w:type="dxa"/>
            <w:gridSpan w:val="2"/>
            <w:tcBorders>
              <w:top w:val="single" w:sz="6" w:space="0" w:color="000000"/>
              <w:start w:val="single" w:sz="6" w:space="0" w:color="000000"/>
              <w:bottom w:val="single" w:sz="6" w:space="0" w:color="000000"/>
              <w:end w:val="single" w:sz="6" w:space="0" w:color="000000"/>
            </w:tcBorders>
            <w:shd w:fill="CCCCCC" w:val="clear"/>
          </w:tcPr>
          <w:p>
            <w:pPr>
              <w:pStyle w:val="BodyTextIndent"/>
              <w:snapToGrid w:val="false"/>
              <w:ind w:start="0" w:end="-180"/>
              <w:jc w:val="center"/>
              <w:rPr>
                <w:b/>
                <w:sz w:val="20"/>
              </w:rPr>
            </w:pPr>
            <w:r>
              <w:rPr>
                <w:b/>
                <w:sz w:val="20"/>
              </w:rPr>
            </w:r>
          </w:p>
          <w:p>
            <w:pPr>
              <w:pStyle w:val="BodyTextIndent"/>
              <w:ind w:start="0" w:end="-180"/>
              <w:jc w:val="center"/>
              <w:rPr>
                <w:sz w:val="20"/>
              </w:rPr>
            </w:pPr>
            <w:r>
              <w:rPr>
                <w:sz w:val="20"/>
              </w:rPr>
              <w:t>End of Conference</w:t>
            </w:r>
          </w:p>
        </w:tc>
      </w:tr>
    </w:tbl>
    <w:p>
      <w:pPr>
        <w:pStyle w:val="Header"/>
        <w:tabs>
          <w:tab w:val="clear" w:pos="4320"/>
          <w:tab w:val="clear" w:pos="8640"/>
        </w:tabs>
        <w:rPr/>
      </w:pPr>
      <w:r>
        <w:rPr/>
      </w:r>
    </w:p>
    <w:sectPr>
      <w:type w:val="continuous"/>
      <w:pgSz w:w="12240" w:h="15840"/>
      <w:pgMar w:left="1536" w:right="1536" w:gutter="0" w:header="0" w:top="720" w:footer="390" w:bottom="44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object w:dxaOrig="1349" w:dyaOrig="104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7.5pt;height:52.5pt" filled="f" o:ole="">
          <v:imagedata r:id="rId2" o:title=""/>
        </v:shape>
        <o:OLEObject Type="Embed" ProgID="" ShapeID="ole_rId1" DrawAspect="Content" ObjectID="_1313306862" r:id="rId1"/>
      </w:objec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360" w:hanging="360"/>
      </w:pPr>
      <w:rPr>
        <w:rFonts w:ascii="Symbol" w:hAnsi="Symbol" w:cs="Symbol" w:hint="default"/>
      </w:rPr>
    </w:lvl>
  </w:abstractNum>
  <w:abstractNum w:abstractNumId="4">
    <w:lvl w:ilvl="0">
      <w:start w:val="1"/>
      <w:numFmt w:val="bullet"/>
      <w:lvlText w:val=""/>
      <w:lvlJc w:val="start"/>
      <w:pPr>
        <w:tabs>
          <w:tab w:val="num" w:pos="780"/>
        </w:tabs>
        <w:ind w:start="78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720"/>
        </w:tabs>
        <w:ind w:start="360" w:hanging="360"/>
      </w:pPr>
      <w:rPr>
        <w:rFonts w:ascii="Symbol" w:hAnsi="Symbol" w:cs="Symbol" w:hint="default"/>
      </w:rPr>
    </w:lvl>
  </w:abstractNum>
  <w:abstractNum w:abstractNumId="7">
    <w:lvl w:ilvl="0">
      <w:start w:val="1"/>
      <w:numFmt w:val="bullet"/>
      <w:lvlText w:val=""/>
      <w:lvlJc w:val="start"/>
      <w:pPr>
        <w:tabs>
          <w:tab w:val="num" w:pos="1140"/>
        </w:tabs>
        <w:ind w:start="114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paragraph" w:styleId="Heading2">
    <w:name w:val="heading 2"/>
    <w:basedOn w:val="Normal"/>
    <w:next w:val="Normal"/>
    <w:qFormat/>
    <w:pPr>
      <w:keepNext w:val="true"/>
      <w:numPr>
        <w:ilvl w:val="1"/>
        <w:numId w:val="1"/>
      </w:numPr>
      <w:jc w:val="center"/>
      <w:outlineLvl w:val="1"/>
    </w:pPr>
    <w:rPr>
      <w:rFonts w:ascii="Arial" w:hAnsi="Arial" w:cs="Arial"/>
      <w:b/>
      <w:sz w:val="22"/>
    </w:rPr>
  </w:style>
  <w:style w:type="paragraph" w:styleId="Heading3">
    <w:name w:val="heading 3"/>
    <w:basedOn w:val="Normal"/>
    <w:next w:val="Normal"/>
    <w:qFormat/>
    <w:pPr>
      <w:keepNext w:val="true"/>
      <w:numPr>
        <w:ilvl w:val="2"/>
        <w:numId w:val="1"/>
      </w:numPr>
      <w:jc w:val="center"/>
      <w:outlineLvl w:val="2"/>
    </w:pPr>
    <w:rPr>
      <w:rFonts w:ascii="Arial" w:hAnsi="Arial" w:cs="Arial"/>
      <w:b/>
    </w:rPr>
  </w:style>
  <w:style w:type="paragraph" w:styleId="Heading4">
    <w:name w:val="heading 4"/>
    <w:basedOn w:val="Normal"/>
    <w:next w:val="Normal"/>
    <w:qFormat/>
    <w:pPr>
      <w:keepNext w:val="true"/>
      <w:numPr>
        <w:ilvl w:val="3"/>
        <w:numId w:val="1"/>
      </w:numPr>
      <w:outlineLvl w:val="3"/>
    </w:pPr>
    <w:rPr>
      <w:b/>
      <w:sz w:val="18"/>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jc w:val="center"/>
      <w:outlineLvl w:val="5"/>
    </w:pPr>
    <w:rPr>
      <w:rFonts w:ascii="Arial" w:hAnsi="Arial" w:cs="Arial"/>
      <w:b/>
      <w:sz w:val="18"/>
    </w:rPr>
  </w:style>
  <w:style w:type="paragraph" w:styleId="Heading7">
    <w:name w:val="heading 7"/>
    <w:basedOn w:val="Normal"/>
    <w:next w:val="Normal"/>
    <w:qFormat/>
    <w:pPr>
      <w:keepNext w:val="true"/>
      <w:numPr>
        <w:ilvl w:val="6"/>
        <w:numId w:val="1"/>
      </w:numPr>
      <w:jc w:val="center"/>
      <w:outlineLvl w:val="6"/>
    </w:pPr>
    <w:rPr>
      <w:rFonts w:ascii="Arial" w:hAnsi="Arial" w:cs="Arial"/>
      <w:sz w:val="28"/>
    </w:rPr>
  </w:style>
  <w:style w:type="paragraph" w:styleId="Heading8">
    <w:name w:val="heading 8"/>
    <w:basedOn w:val="Normal"/>
    <w:next w:val="Normal"/>
    <w:qFormat/>
    <w:pPr>
      <w:keepNext w:val="true"/>
      <w:numPr>
        <w:ilvl w:val="7"/>
        <w:numId w:val="1"/>
      </w:numPr>
      <w:jc w:val="center"/>
      <w:outlineLvl w:val="7"/>
    </w:pPr>
    <w:rPr>
      <w:rFonts w:ascii="Arial" w:hAnsi="Arial" w:cs="Arial"/>
      <w:i/>
    </w:rPr>
  </w:style>
  <w:style w:type="paragraph" w:styleId="Heading9">
    <w:name w:val="heading 9"/>
    <w:basedOn w:val="Normal"/>
    <w:next w:val="Normal"/>
    <w:qFormat/>
    <w:pPr>
      <w:keepNext w:val="true"/>
      <w:numPr>
        <w:ilvl w:val="8"/>
        <w:numId w:val="1"/>
      </w:numPr>
      <w:outlineLvl w:val="8"/>
    </w:pPr>
    <w:rPr>
      <w:rFonts w:ascii="Arial" w:hAnsi="Arial" w:cs="Arial"/>
      <w:i/>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rFonts w:ascii="Times New Roman" w:hAnsi="Times New Roman" w:cs="Times New Roman"/>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Wingdings" w:hAnsi="Wingdings" w:cs="Wingdings"/>
    </w:rPr>
  </w:style>
  <w:style w:type="character" w:styleId="WW8Num42z0">
    <w:name w:val="WW8Num42z0"/>
    <w:qFormat/>
    <w:rPr>
      <w:rFonts w:ascii="Times New Roman" w:hAnsi="Times New Roman" w:cs="Times New Roman"/>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rFonts w:ascii="Times New Roman" w:hAnsi="Times New Roman" w:cs="Times New Roman"/>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Times New Roman" w:hAnsi="Times New Roman" w:cs="Times New Roman"/>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rFonts w:ascii="Wingdings" w:hAnsi="Wingdings" w:cs="Wingdings"/>
    </w:rPr>
  </w:style>
  <w:style w:type="character" w:styleId="WW8Num86z0">
    <w:name w:val="WW8Num86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Times New Roman" w:hAnsi="Times New Roman" w:cs="Times New Roman"/>
    </w:rPr>
  </w:style>
  <w:style w:type="character" w:styleId="WW8Num107z0">
    <w:name w:val="WW8Num107z0"/>
    <w:qFormat/>
    <w:rPr/>
  </w:style>
  <w:style w:type="character" w:styleId="WW8Num108z0">
    <w:name w:val="WW8Num108z0"/>
    <w:qFormat/>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Times New Roman" w:hAnsi="Times New Roman" w:cs="Times New Roman"/>
    </w:rPr>
  </w:style>
  <w:style w:type="character" w:styleId="WW8Num121z0">
    <w:name w:val="WW8Num121z0"/>
    <w:qFormat/>
    <w:rPr>
      <w:rFonts w:ascii="Times New Roman" w:hAnsi="Times New Roman" w:cs="Times New Roman"/>
    </w:rPr>
  </w:style>
  <w:style w:type="character" w:styleId="WW8Num122z0">
    <w:name w:val="WW8Num122z0"/>
    <w:qFormat/>
    <w:rPr>
      <w:rFonts w:ascii="Symbol" w:hAnsi="Symbol" w:cs="Symbol"/>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Wingdings" w:hAnsi="Wingdings" w:cs="Wingdings"/>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rFonts w:ascii="Times New Roman" w:hAnsi="Times New Roman" w:cs="Times New Roman"/>
    </w:rPr>
  </w:style>
  <w:style w:type="character" w:styleId="WW8Num143z0">
    <w:name w:val="WW8Num143z0"/>
    <w:qFormat/>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Times New Roman" w:hAnsi="Times New Roman" w:cs="Times New Roman"/>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6z0">
    <w:name w:val="WW8Num156z0"/>
    <w:qFormat/>
    <w:rPr>
      <w:rFonts w:ascii="Symbol" w:hAnsi="Symbol" w:cs="Symbol"/>
    </w:rPr>
  </w:style>
  <w:style w:type="character" w:styleId="WW8Num157z0">
    <w:name w:val="WW8Num157z0"/>
    <w:qFormat/>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Wingdings" w:hAnsi="Wingdings" w:cs="Wingdings"/>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style>
  <w:style w:type="character" w:styleId="WW8Num174z0">
    <w:name w:val="WW8Num174z0"/>
    <w:qFormat/>
    <w:rPr>
      <w:rFonts w:ascii="Symbol" w:hAnsi="Symbol" w:cs="Symbol"/>
    </w:rPr>
  </w:style>
  <w:style w:type="character" w:styleId="WW8Num175z0">
    <w:name w:val="WW8Num175z0"/>
    <w:qFormat/>
    <w:rPr>
      <w:rFonts w:ascii="Wingdings" w:hAnsi="Wingdings" w:cs="Wingdings"/>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Times New Roman" w:hAnsi="Times New Roman" w:cs="Times New Roman"/>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1z0">
    <w:name w:val="WW8Num191z0"/>
    <w:qFormat/>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Times New Roman" w:hAnsi="Times New Roman" w:cs="Times New Roman"/>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Times New Roman" w:hAnsi="Times New Roman" w:cs="Times New Roman"/>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3z1">
    <w:name w:val="WW8Num203z1"/>
    <w:qFormat/>
    <w:rPr>
      <w:rFonts w:ascii="Courier New" w:hAnsi="Courier New" w:cs="Courier New"/>
    </w:rPr>
  </w:style>
  <w:style w:type="character" w:styleId="WW8Num203z2">
    <w:name w:val="WW8Num203z2"/>
    <w:qFormat/>
    <w:rPr>
      <w:rFonts w:ascii="Wingdings" w:hAnsi="Wingdings" w:cs="Wingdings"/>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style>
  <w:style w:type="character" w:styleId="WW8Num211z0">
    <w:name w:val="WW8Num211z0"/>
    <w:qFormat/>
    <w:rPr>
      <w:rFonts w:ascii="Symbol" w:hAnsi="Symbol" w:cs="Symbol"/>
    </w:rPr>
  </w:style>
  <w:style w:type="character" w:styleId="WW8Num211z1">
    <w:name w:val="WW8Num211z1"/>
    <w:qFormat/>
    <w:rPr>
      <w:rFonts w:ascii="Courier New" w:hAnsi="Courier New" w:cs="Courier New"/>
    </w:rPr>
  </w:style>
  <w:style w:type="character" w:styleId="WW8Num211z2">
    <w:name w:val="WW8Num211z2"/>
    <w:qFormat/>
    <w:rPr>
      <w:rFonts w:ascii="Wingdings" w:hAnsi="Wingdings" w:cs="Wingdings"/>
    </w:rPr>
  </w:style>
  <w:style w:type="character" w:styleId="WW8Num212z0">
    <w:name w:val="WW8Num212z0"/>
    <w:qFormat/>
    <w:rPr>
      <w:rFonts w:ascii="Times New Roman" w:hAnsi="Times New Roman" w:cs="Times New Roman"/>
    </w:rPr>
  </w:style>
  <w:style w:type="character" w:styleId="WW8Num213z0">
    <w:name w:val="WW8Num213z0"/>
    <w:qFormat/>
    <w:rPr>
      <w:rFonts w:ascii="Symbol" w:hAnsi="Symbol" w:cs="Symbol"/>
    </w:rPr>
  </w:style>
  <w:style w:type="character" w:styleId="WW8Num214z0">
    <w:name w:val="WW8Num214z0"/>
    <w:qFormat/>
    <w:rPr>
      <w:rFonts w:ascii="Wingdings" w:hAnsi="Wingdings" w:cs="Wingdings"/>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Wingdings" w:hAnsi="Wingdings" w:cs="Wingdings"/>
    </w:rPr>
  </w:style>
  <w:style w:type="character" w:styleId="WW8Num220z0">
    <w:name w:val="WW8Num220z0"/>
    <w:qFormat/>
    <w:rPr>
      <w:rFonts w:ascii="Wingdings" w:hAnsi="Wingdings" w:cs="Wingdings"/>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style>
  <w:style w:type="character" w:styleId="WW8Num228z0">
    <w:name w:val="WW8Num228z0"/>
    <w:qFormat/>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8z1">
    <w:name w:val="WW8Num238z1"/>
    <w:qFormat/>
    <w:rPr>
      <w:rFonts w:ascii="Courier New" w:hAnsi="Courier New" w:cs="Courier New"/>
    </w:rPr>
  </w:style>
  <w:style w:type="character" w:styleId="WW8Num238z2">
    <w:name w:val="WW8Num238z2"/>
    <w:qFormat/>
    <w:rPr>
      <w:rFonts w:ascii="Wingdings" w:hAnsi="Wingdings" w:cs="Wingdings"/>
    </w:rPr>
  </w:style>
  <w:style w:type="character" w:styleId="WW8Num239z0">
    <w:name w:val="WW8Num239z0"/>
    <w:qFormat/>
    <w:rPr>
      <w:rFonts w:ascii="Times New Roman" w:hAnsi="Times New Roman" w:cs="Times New Roman"/>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Wingdings"/>
    </w:rPr>
  </w:style>
  <w:style w:type="character" w:styleId="WW8Num245z0">
    <w:name w:val="WW8Num245z0"/>
    <w:qFormat/>
    <w:rPr>
      <w:rFonts w:ascii="Symbol" w:hAnsi="Symbol" w:cs="Symbol"/>
    </w:rPr>
  </w:style>
  <w:style w:type="character" w:styleId="WW8Num245z1">
    <w:name w:val="WW8Num245z1"/>
    <w:qFormat/>
    <w:rPr>
      <w:rFonts w:ascii="Courier New" w:hAnsi="Courier New" w:cs="Courier New"/>
    </w:rPr>
  </w:style>
  <w:style w:type="character" w:styleId="WW8Num245z2">
    <w:name w:val="WW8Num245z2"/>
    <w:qFormat/>
    <w:rPr>
      <w:rFonts w:ascii="Wingdings" w:hAnsi="Wingdings" w:cs="Wingdings"/>
    </w:rPr>
  </w:style>
  <w:style w:type="character" w:styleId="WW8Num246z0">
    <w:name w:val="WW8Num246z0"/>
    <w:qFormat/>
    <w:rPr>
      <w:rFonts w:ascii="Symbol" w:hAnsi="Symbol" w:cs="Symbol"/>
    </w:rPr>
  </w:style>
  <w:style w:type="character" w:styleId="WW8Num246z1">
    <w:name w:val="WW8Num246z1"/>
    <w:qFormat/>
    <w:rPr>
      <w:rFonts w:ascii="Courier New" w:hAnsi="Courier New" w:cs="Courier New"/>
    </w:rPr>
  </w:style>
  <w:style w:type="character" w:styleId="WW8Num246z2">
    <w:name w:val="WW8Num246z2"/>
    <w:qFormat/>
    <w:rPr>
      <w:rFonts w:ascii="Wingdings" w:hAnsi="Wingdings" w:cs="Wingdings"/>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Times New Roman" w:hAnsi="Times New Roman" w:cs="Times New Roman"/>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6z0">
    <w:name w:val="WW8Num256z0"/>
    <w:qFormat/>
    <w:rPr/>
  </w:style>
  <w:style w:type="character" w:styleId="WW8Num257z0">
    <w:name w:val="WW8Num257z0"/>
    <w:qFormat/>
    <w:rPr>
      <w:rFonts w:ascii="Symbol" w:hAnsi="Symbol" w:cs="Symbol"/>
    </w:rPr>
  </w:style>
  <w:style w:type="character" w:styleId="WW8Num258z0">
    <w:name w:val="WW8Num258z0"/>
    <w:qFormat/>
    <w:rPr/>
  </w:style>
  <w:style w:type="character" w:styleId="WW8Num259z0">
    <w:name w:val="WW8Num259z0"/>
    <w:qFormat/>
    <w:rPr>
      <w:rFonts w:ascii="Symbol" w:hAnsi="Symbol" w:cs="Symbol"/>
    </w:rPr>
  </w:style>
  <w:style w:type="character" w:styleId="WW8Num260z0">
    <w:name w:val="WW8Num260z0"/>
    <w:qFormat/>
    <w:rPr/>
  </w:style>
  <w:style w:type="character" w:styleId="WW8Num261z0">
    <w:name w:val="WW8Num261z0"/>
    <w:qFormat/>
    <w:rPr>
      <w:rFonts w:ascii="Times New Roman" w:hAnsi="Times New Roman" w:eastAsia="Times New Roman" w:cs="Times New Roman"/>
    </w:rPr>
  </w:style>
  <w:style w:type="character" w:styleId="WW8Num261z1">
    <w:name w:val="WW8Num261z1"/>
    <w:qFormat/>
    <w:rPr>
      <w:rFonts w:ascii="Courier New" w:hAnsi="Courier New" w:cs="Courier New"/>
    </w:rPr>
  </w:style>
  <w:style w:type="character" w:styleId="WW8Num261z2">
    <w:name w:val="WW8Num261z2"/>
    <w:qFormat/>
    <w:rPr>
      <w:rFonts w:ascii="Wingdings" w:hAnsi="Wingdings" w:cs="Wingdings"/>
    </w:rPr>
  </w:style>
  <w:style w:type="character" w:styleId="WW8Num261z3">
    <w:name w:val="WW8Num261z3"/>
    <w:qFormat/>
    <w:rPr>
      <w:rFonts w:ascii="Symbol" w:hAnsi="Symbol" w:cs="Symbol"/>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8z1">
    <w:name w:val="WW8Num268z1"/>
    <w:qFormat/>
    <w:rPr>
      <w:rFonts w:ascii="Courier New" w:hAnsi="Courier New" w:cs="Courier New"/>
    </w:rPr>
  </w:style>
  <w:style w:type="character" w:styleId="WW8Num268z2">
    <w:name w:val="WW8Num268z2"/>
    <w:qFormat/>
    <w:rPr>
      <w:rFonts w:ascii="Wingdings" w:hAnsi="Wingdings" w:cs="Wingdings"/>
    </w:rPr>
  </w:style>
  <w:style w:type="character" w:styleId="WW8Num269z0">
    <w:name w:val="WW8Num269z0"/>
    <w:qFormat/>
    <w:rPr>
      <w:rFonts w:ascii="Symbol" w:hAnsi="Symbol" w:cs="Symbol"/>
    </w:rPr>
  </w:style>
  <w:style w:type="character" w:styleId="WW8Num270z0">
    <w:name w:val="WW8Num270z0"/>
    <w:qFormat/>
    <w:rPr>
      <w:rFonts w:ascii="Times New Roman" w:hAnsi="Times New Roman" w:cs="Times New Roman"/>
    </w:rPr>
  </w:style>
  <w:style w:type="character" w:styleId="WW8Num271z0">
    <w:name w:val="WW8Num271z0"/>
    <w:qFormat/>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Times New Roman" w:hAnsi="Times New Roman" w:cs="Times New Roman"/>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79z1">
    <w:name w:val="WW8Num279z1"/>
    <w:qFormat/>
    <w:rPr>
      <w:rFonts w:ascii="Courier New" w:hAnsi="Courier New" w:cs="Courier New"/>
    </w:rPr>
  </w:style>
  <w:style w:type="character" w:styleId="WW8Num279z2">
    <w:name w:val="WW8Num279z2"/>
    <w:qFormat/>
    <w:rPr>
      <w:rFonts w:ascii="Wingdings" w:hAnsi="Wingdings" w:cs="Wingdings"/>
    </w:rPr>
  </w:style>
  <w:style w:type="character" w:styleId="WW8Num280z0">
    <w:name w:val="WW8Num280z0"/>
    <w:qFormat/>
    <w:rPr>
      <w:rFonts w:ascii="Symbol" w:hAnsi="Symbol" w:cs="Symbol"/>
    </w:rPr>
  </w:style>
  <w:style w:type="character" w:styleId="WW8Num281z0">
    <w:name w:val="WW8Num281z0"/>
    <w:qFormat/>
    <w:rPr/>
  </w:style>
  <w:style w:type="character" w:styleId="WW8Num282z0">
    <w:name w:val="WW8Num282z0"/>
    <w:qFormat/>
    <w:rPr>
      <w:rFonts w:ascii="Times New Roman" w:hAnsi="Times New Roman" w:cs="Times New Roman"/>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St109z0">
    <w:name w:val="WW8NumSt10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Emphasis">
    <w:name w:val="Emphasis"/>
    <w:basedOn w:val="DefaultParagraphFont"/>
    <w:qFormat/>
    <w:rPr>
      <w:i/>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4"/>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4"/>
    </w:rPr>
  </w:style>
  <w:style w:type="paragraph" w:styleId="BodyTextIndent">
    <w:name w:val="Body Text Indent"/>
    <w:basedOn w:val="Normal"/>
    <w:pPr>
      <w:ind w:hanging="0" w:start="720" w:end="0"/>
    </w:pPr>
    <w:rPr>
      <w:rFonts w:ascii="Arial" w:hAnsi="Arial" w:cs="Arial"/>
      <w:sz w:val="22"/>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rFonts w:ascii="Arial" w:hAnsi="Arial" w:cs="Arial"/>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Arial" w:hAnsi="Arial" w:cs="Arial"/>
      <w:sz w:val="18"/>
    </w:rPr>
  </w:style>
  <w:style w:type="paragraph" w:styleId="PlainText">
    <w:name w:val="Plain Text"/>
    <w:basedOn w:val="Normal"/>
    <w:qFormat/>
    <w:pPr/>
    <w:rPr>
      <w:rFonts w:ascii="Courier New" w:hAnsi="Courier New" w:cs="Courier New"/>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2001-05-30T18:48:00Z</dcterms:created>
  <dc:creator>John Tonelli</dc:creator>
  <dc:description/>
  <dc:language>en-CA</dc:language>
  <cp:lastModifiedBy>Edouard Daunas</cp:lastModifiedBy>
  <cp:lastPrinted>2001-05-25T16:15:00Z</cp:lastPrinted>
  <dcterms:modified xsi:type="dcterms:W3CDTF">2001-05-30T18:50:00Z</dcterms:modified>
  <cp:revision>3</cp:revision>
  <dc:subject/>
  <dc:title>Latin Summit Agenda</dc:title>
</cp:coreProperties>
</file>