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Preliminary Agenda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Center for Houston’s Future</w:t>
      </w:r>
    </w:p>
    <w:p>
      <w:pPr>
        <w:pStyle w:val="Normal"/>
        <w:jc w:val="center"/>
        <w:rPr>
          <w:sz w:val="22"/>
        </w:rPr>
      </w:pPr>
      <w:r>
        <w:rPr>
          <w:b/>
          <w:sz w:val="22"/>
        </w:rPr>
        <w:t>Board Meeting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4 p.m. - 6 p.m.   October 18, 2001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Greater Houston Partnership, Conference Room</w:t>
      </w:r>
    </w:p>
    <w:p>
      <w:pPr>
        <w:pStyle w:val="Normal"/>
        <w:rPr>
          <w:sz w:val="22"/>
          <w:u w:val="single"/>
        </w:rPr>
      </w:pPr>
      <w:r>
        <w:rPr>
          <w:sz w:val="22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/>
      </w:pPr>
      <w:r>
        <w:rPr>
          <w:sz w:val="22"/>
        </w:rPr>
        <w:t>1)</w:t>
        <w:tab/>
        <w:t>Call to order and review of agenda</w:t>
        <w:tab/>
        <w:tab/>
        <w:tab/>
        <w:tab/>
      </w:r>
      <w:r>
        <w:rPr>
          <w:b/>
          <w:i/>
          <w:sz w:val="22"/>
        </w:rPr>
        <w:t>Action:</w:t>
      </w:r>
      <w:r>
        <w:rPr>
          <w:sz w:val="22"/>
        </w:rPr>
        <w:t xml:space="preserve"> </w:t>
      </w:r>
      <w:r>
        <w:rPr>
          <w:b/>
          <w:i/>
          <w:sz w:val="22"/>
        </w:rPr>
        <w:t>Vote on</w:t>
      </w:r>
      <w:r>
        <w:rPr>
          <w:sz w:val="22"/>
        </w:rPr>
        <w:t xml:space="preserve"> </w:t>
      </w:r>
      <w:r>
        <w:rPr>
          <w:b/>
          <w:i/>
          <w:sz w:val="22"/>
        </w:rPr>
        <w:t>Approval of Minutes of July 19, 2001</w:t>
      </w:r>
      <w:r>
        <w:rPr>
          <w:sz w:val="22"/>
        </w:rPr>
        <w:tab/>
        <w:tab/>
      </w:r>
      <w:r>
        <w:rPr>
          <w:b/>
          <w:sz w:val="22"/>
        </w:rPr>
        <w:t xml:space="preserve">Attachment 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>2) General Overview and Update</w:t>
        <w:tab/>
        <w:tab/>
        <w:tab/>
        <w:t xml:space="preserve">Gene Vaughan 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>3) Capital Campaign Update</w:t>
        <w:tab/>
        <w:tab/>
        <w:tab/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ab/>
        <w:t>A. Capital Campaign Status</w:t>
        <w:tab/>
        <w:tab/>
        <w:tab/>
        <w:t>Ned Holmes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ab/>
        <w:t>B. Capital Campaign Support</w:t>
        <w:tab/>
        <w:tab/>
        <w:tab/>
        <w:t>Kim Sterling/Jim Royer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 xml:space="preserve">4) Memorandum of Understanding 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ab/>
      </w:r>
      <w:r>
        <w:rPr>
          <w:b/>
          <w:i/>
          <w:sz w:val="22"/>
        </w:rPr>
        <w:t>Action:  Vote on Approval of MOU</w:t>
        <w:tab/>
        <w:tab/>
      </w:r>
      <w:r>
        <w:rPr>
          <w:sz w:val="22"/>
        </w:rPr>
        <w:tab/>
      </w:r>
      <w:r>
        <w:rPr>
          <w:b/>
          <w:sz w:val="22"/>
        </w:rPr>
        <w:t>Attachment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>5) Discussion on Structure and Process</w:t>
      </w:r>
    </w:p>
    <w:p>
      <w:pPr>
        <w:pStyle w:val="Normal"/>
        <w:numPr>
          <w:ilvl w:val="0"/>
          <w:numId w:val="3"/>
        </w:numPr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>Report from Rufus Cormier Committee</w:t>
        <w:tab/>
        <w:tab/>
        <w:tab/>
        <w:t>Rufus Cormier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ab/>
      </w:r>
      <w:r>
        <w:rPr>
          <w:b/>
          <w:i/>
          <w:sz w:val="22"/>
        </w:rPr>
        <w:t>Action:  Vote on Adoption of Report</w:t>
      </w:r>
      <w:r>
        <w:rPr>
          <w:sz w:val="22"/>
        </w:rPr>
        <w:tab/>
        <w:tab/>
        <w:tab/>
      </w:r>
      <w:r>
        <w:rPr>
          <w:b/>
          <w:sz w:val="22"/>
        </w:rPr>
        <w:t>Attachment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>6) Bylaws and Technical Issues</w:t>
        <w:tab/>
        <w:tab/>
        <w:tab/>
        <w:t>Gene Vaughan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/>
      </w:pPr>
      <w:r>
        <w:rPr>
          <w:sz w:val="22"/>
        </w:rPr>
        <w:tab/>
      </w:r>
      <w:r>
        <w:rPr>
          <w:b/>
          <w:i/>
          <w:sz w:val="22"/>
        </w:rPr>
        <w:t>Action: Vote on Creation of Executive Committee</w:t>
      </w:r>
      <w:r>
        <w:rPr>
          <w:sz w:val="22"/>
        </w:rPr>
        <w:tab/>
        <w:tab/>
        <w:tab/>
      </w:r>
      <w:r>
        <w:rPr>
          <w:b/>
          <w:sz w:val="22"/>
        </w:rPr>
        <w:t>Attachment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/>
      </w:pPr>
      <w:r>
        <w:rPr>
          <w:sz w:val="22"/>
        </w:rPr>
        <w:tab/>
      </w:r>
      <w:r>
        <w:rPr>
          <w:b/>
          <w:i/>
          <w:sz w:val="22"/>
        </w:rPr>
        <w:t>Action:  Vote on Bylaws Changes</w:t>
        <w:tab/>
        <w:tab/>
        <w:tab/>
      </w:r>
      <w:r>
        <w:rPr>
          <w:b/>
          <w:sz w:val="22"/>
        </w:rPr>
        <w:t>Attachment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ind w:start="720" w:end="0"/>
        <w:rPr>
          <w:b/>
          <w:sz w:val="22"/>
        </w:rPr>
      </w:pPr>
      <w:r>
        <w:rPr>
          <w:b/>
          <w:sz w:val="22"/>
        </w:rPr>
        <w:t>Addition of Ex-Officio Director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ind w:start="720" w:end="0"/>
        <w:rPr>
          <w:b/>
          <w:sz w:val="22"/>
        </w:rPr>
      </w:pPr>
      <w:r>
        <w:rPr>
          <w:b/>
          <w:sz w:val="22"/>
        </w:rPr>
        <w:t>Executive Committee Structure and Authority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b/>
          <w:i/>
          <w:i/>
          <w:sz w:val="22"/>
        </w:rPr>
      </w:pPr>
      <w:r>
        <w:rPr>
          <w:b/>
          <w:sz w:val="22"/>
        </w:rPr>
        <w:tab/>
      </w:r>
      <w:r>
        <w:rPr>
          <w:b/>
          <w:i/>
          <w:sz w:val="22"/>
        </w:rPr>
        <w:t>Action:  Vote on Resolution Establishing Corporate Officers</w:t>
        <w:tab/>
        <w:tab/>
      </w:r>
      <w:r>
        <w:rPr>
          <w:b/>
          <w:sz w:val="22"/>
        </w:rPr>
        <w:t>Attachment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/>
      </w:pPr>
      <w:r>
        <w:rPr>
          <w:b/>
          <w:sz w:val="22"/>
        </w:rPr>
        <w:tab/>
      </w:r>
      <w:r>
        <w:rPr>
          <w:b/>
          <w:i/>
          <w:sz w:val="22"/>
        </w:rPr>
        <w:t>Action:  Vote on Resolution Assigning Check Signing Privileges</w:t>
        <w:tab/>
        <w:tab/>
      </w:r>
      <w:r>
        <w:rPr>
          <w:b/>
          <w:sz w:val="22"/>
        </w:rPr>
        <w:t>Attachment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>7) Election of Corporate Officers</w:t>
        <w:tab/>
        <w:tab/>
        <w:tab/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/>
      </w:pPr>
      <w:r>
        <w:rPr>
          <w:sz w:val="22"/>
        </w:rPr>
        <w:tab/>
      </w:r>
      <w:r>
        <w:rPr>
          <w:b/>
          <w:i/>
          <w:sz w:val="22"/>
        </w:rPr>
        <w:t>Action:  Vote on Resolution</w:t>
        <w:tab/>
      </w:r>
      <w:r>
        <w:rPr>
          <w:sz w:val="22"/>
        </w:rPr>
        <w:tab/>
        <w:tab/>
      </w:r>
      <w:r>
        <w:rPr>
          <w:b/>
          <w:sz w:val="22"/>
        </w:rPr>
        <w:t>Attachment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>8) Report on Business/Civic Leadership Forum 9/27-29/01</w:t>
        <w:tab/>
        <w:tab/>
        <w:t>David Mendez/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/>
      </w:pPr>
      <w:r>
        <w:rPr>
          <w:b/>
          <w:sz w:val="22"/>
        </w:rPr>
        <w:tab/>
        <w:tab/>
        <w:tab/>
        <w:tab/>
        <w:tab/>
        <w:tab/>
      </w:r>
      <w:r>
        <w:rPr>
          <w:sz w:val="22"/>
        </w:rPr>
        <w:t>Jim Royer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>9)</w:t>
        <w:tab/>
        <w:t xml:space="preserve">Presentation of 2002 Work Plan </w:t>
        <w:tab/>
        <w:tab/>
        <w:tab/>
        <w:t>Gene Vaughan/James Calaway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b/>
          <w:i/>
          <w:sz w:val="22"/>
        </w:rPr>
        <w:tab/>
        <w:t>Action:  Vote on Approval of 2002 Work Plan</w:t>
        <w:tab/>
        <w:tab/>
      </w:r>
      <w:r>
        <w:rPr>
          <w:sz w:val="22"/>
        </w:rPr>
        <w:tab/>
      </w:r>
      <w:r>
        <w:rPr>
          <w:b/>
          <w:sz w:val="22"/>
        </w:rPr>
        <w:t>Attachment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>10) Financial Report</w:t>
        <w:tab/>
        <w:tab/>
        <w:tab/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>12) Update on Greater Houston Workforce Training Fund</w:t>
        <w:tab/>
        <w:tab/>
        <w:t>Charlie Savino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>11) Future Meetings (all on Thursday, 4:00-5:45 p.m.)</w:t>
      </w:r>
    </w:p>
    <w:p>
      <w:pPr>
        <w:pStyle w:val="Normal"/>
        <w:numPr>
          <w:ilvl w:val="0"/>
          <w:numId w:val="4"/>
        </w:numPr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>January 17, 2002</w:t>
      </w:r>
    </w:p>
    <w:p>
      <w:pPr>
        <w:pStyle w:val="Normal"/>
        <w:numPr>
          <w:ilvl w:val="0"/>
          <w:numId w:val="4"/>
        </w:numPr>
        <w:tabs>
          <w:tab w:val="left" w:pos="270" w:leader="none"/>
          <w:tab w:val="left" w:pos="540" w:leader="none"/>
          <w:tab w:val="left" w:pos="720" w:leader="none"/>
          <w:tab w:val="left" w:pos="4860" w:leader="none"/>
          <w:tab w:val="left" w:pos="6210" w:leader="none"/>
          <w:tab w:val="right" w:pos="9360" w:leader="none"/>
        </w:tabs>
        <w:rPr>
          <w:sz w:val="22"/>
        </w:rPr>
      </w:pPr>
      <w:r>
        <w:rPr>
          <w:sz w:val="22"/>
        </w:rPr>
        <w:t>April 18, 2002</w:t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</w:tabs>
        <w:rPr>
          <w:b/>
          <w:i/>
          <w:i/>
          <w:sz w:val="22"/>
        </w:rPr>
      </w:pPr>
      <w:r>
        <w:rPr>
          <w:sz w:val="22"/>
        </w:rPr>
        <w:tab/>
        <w:tab/>
      </w:r>
    </w:p>
    <w:p>
      <w:pPr>
        <w:pStyle w:val="Normal"/>
        <w:tabs>
          <w:tab w:val="left" w:pos="270" w:leader="none"/>
          <w:tab w:val="left" w:pos="540" w:leader="none"/>
          <w:tab w:val="left" w:pos="720" w:leader="none"/>
        </w:tabs>
        <w:rPr>
          <w:sz w:val="22"/>
        </w:rPr>
      </w:pPr>
      <w:r>
        <w:rPr>
          <w:sz w:val="22"/>
        </w:rPr>
        <w:t>12) Adjourn</w:t>
      </w:r>
    </w:p>
    <w:sectPr>
      <w:headerReference w:type="default" r:id="rId2"/>
      <w:type w:val="nextPage"/>
      <w:pgSz w:w="12240" w:h="15840"/>
      <w:pgMar w:left="1440" w:right="1080" w:gutter="0" w:header="720" w:top="1440" w:footer="0" w:bottom="86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  <w:font w:name="CG Time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b/>
        <w:sz w:val="40"/>
      </w:rPr>
    </w:pPr>
    <w:r>
      <w:rPr>
        <w:rFonts w:cs="Arial" w:ascii="Arial" w:hAnsi="Arial"/>
        <w:b/>
        <w:sz w:val="40"/>
      </w:rPr>
    </w:r>
  </w:p>
  <w:p>
    <w:pPr>
      <w:pStyle w:val="Header"/>
      <w:jc w:val="end"/>
      <w:rPr>
        <w:rFonts w:ascii="Arial" w:hAnsi="Arial" w:cs="Arial"/>
        <w:b/>
        <w:sz w:val="40"/>
      </w:rPr>
    </w:pPr>
    <w:r>
      <w:rPr>
        <w:rFonts w:cs="Arial" w:ascii="Arial" w:hAnsi="Arial"/>
        <w:b/>
        <w:sz w:val="4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432"/>
        </w:tabs>
        <w:ind w:start="432" w:hanging="432"/>
      </w:pPr>
      <w:rPr/>
    </w:lvl>
    <w:lvl w:ilvl="1">
      <w:start w:val="1"/>
      <w:numFmt w:val="bullet"/>
      <w:lvlText w:val="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630"/>
        </w:tabs>
        <w:ind w:start="630" w:hanging="360"/>
      </w:pPr>
      <w:rPr/>
    </w:lvl>
  </w:abstractNum>
  <w:abstractNum w:abstractNumId="4">
    <w:lvl w:ilvl="0">
      <w:start w:val="12"/>
      <w:numFmt w:val="bullet"/>
      <w:lvlText w:val="-"/>
      <w:lvlJc w:val="start"/>
      <w:pPr>
        <w:tabs>
          <w:tab w:val="num" w:pos="900"/>
        </w:tabs>
        <w:ind w:start="900" w:hanging="360"/>
      </w:pPr>
      <w:rPr>
        <w:rFonts w:ascii="Times New Roman" w:hAnsi="Times New Roman" w:cs="Times New Roman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ind w:hanging="720" w:start="720" w:end="0"/>
      <w:jc w:val="both"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ind w:hanging="720" w:start="1440" w:end="0"/>
      <w:jc w:val="both"/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ind w:hanging="720" w:start="2160" w:end="0"/>
      <w:jc w:val="both"/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240"/>
      <w:ind w:hanging="720" w:start="2880" w:end="0"/>
      <w:jc w:val="both"/>
      <w:outlineLvl w:val="3"/>
    </w:pPr>
    <w:rPr/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0" w:after="240"/>
      <w:ind w:hanging="720" w:start="3600" w:end="0"/>
      <w:jc w:val="both"/>
      <w:outlineLvl w:val="4"/>
    </w:pPr>
    <w:rPr/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240"/>
      <w:ind w:hanging="720" w:start="4320" w:end="0"/>
      <w:jc w:val="both"/>
      <w:outlineLvl w:val="5"/>
    </w:pPr>
    <w:rPr/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1980" w:end="0"/>
      <w:outlineLvl w:val="6"/>
    </w:pPr>
    <w:rPr>
      <w:rFonts w:ascii="Garamond" w:hAnsi="Garamond" w:cs="Garamond"/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1">
    <w:name w:val="WW8Num6z1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Times New Roman" w:hAnsi="Times New Roman" w:eastAsia="Times New Roman" w:cs="Times New Roman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  <w:sz w:val="28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Times New Roman" w:hAnsi="Times New Roman" w:eastAsia="Times New Roman" w:cs="Times New Roman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3">
    <w:name w:val="WW8Num37z3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mailStyle20">
    <w:name w:val="EmailStyle20"/>
    <w:basedOn w:val="DefaultParagraphFont"/>
    <w:qFormat/>
    <w:rPr>
      <w:rFonts w:ascii="Arial" w:hAnsi="Arial" w:cs="Arial"/>
      <w:color w:val="000080"/>
      <w:sz w:val="20"/>
      <w:szCs w:val="20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 Narrow" w:hAnsi="Arial Narrow" w:cs="Arial Narrow"/>
      <w:sz w:val="1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A">
    <w:name w:val="Heading A"/>
    <w:basedOn w:val="Normal"/>
    <w:next w:val="Normal"/>
    <w:qFormat/>
    <w:pPr>
      <w:keepNext w:val="true"/>
      <w:spacing w:before="0" w:after="240"/>
      <w:jc w:val="center"/>
    </w:pPr>
    <w:rPr>
      <w:caps/>
    </w:rPr>
  </w:style>
  <w:style w:type="paragraph" w:styleId="HeadingB">
    <w:name w:val="Heading B"/>
    <w:basedOn w:val="Normal"/>
    <w:next w:val="Normal"/>
    <w:qFormat/>
    <w:pPr>
      <w:keepNext w:val="true"/>
      <w:spacing w:before="0" w:after="240"/>
      <w:jc w:val="both"/>
    </w:pPr>
    <w:rPr>
      <w:caps/>
    </w:rPr>
  </w:style>
  <w:style w:type="paragraph" w:styleId="HeadingC">
    <w:name w:val="Heading C"/>
    <w:basedOn w:val="Normal"/>
    <w:next w:val="Normal"/>
    <w:qFormat/>
    <w:pPr>
      <w:keepNext w:val="true"/>
      <w:spacing w:before="0" w:after="240"/>
      <w:jc w:val="both"/>
    </w:pPr>
    <w:rPr>
      <w:b/>
    </w:rPr>
  </w:style>
  <w:style w:type="paragraph" w:styleId="HeadingD">
    <w:name w:val="Heading D"/>
    <w:basedOn w:val="Normal"/>
    <w:next w:val="Normal"/>
    <w:qFormat/>
    <w:pPr>
      <w:keepNext w:val="true"/>
      <w:spacing w:before="0" w:after="240"/>
      <w:jc w:val="both"/>
    </w:pPr>
    <w:rPr>
      <w:u w:val="single"/>
    </w:rPr>
  </w:style>
  <w:style w:type="paragraph" w:styleId="ProductResults">
    <w:name w:val="Product/Results"/>
    <w:basedOn w:val="Normal"/>
    <w:qFormat/>
    <w:pPr>
      <w:widowControl w:val="false"/>
      <w:numPr>
        <w:ilvl w:val="0"/>
        <w:numId w:val="2"/>
      </w:numPr>
      <w:spacing w:before="160" w:after="0"/>
    </w:pPr>
    <w:rPr>
      <w:rFonts w:ascii="CG Times" w:hAnsi="CG Times" w:cs="CG Times"/>
    </w:rPr>
  </w:style>
  <w:style w:type="paragraph" w:styleId="BulletList">
    <w:name w:val="Bullet List"/>
    <w:basedOn w:val="Normal"/>
    <w:qFormat/>
    <w:pPr>
      <w:numPr>
        <w:ilvl w:val="0"/>
        <w:numId w:val="5"/>
      </w:numPr>
    </w:pPr>
    <w:rPr/>
  </w:style>
  <w:style w:type="paragraph" w:styleId="t1">
    <w:name w:val="t1"/>
    <w:basedOn w:val="Normal"/>
    <w:qFormat/>
    <w:pPr>
      <w:widowControl w:val="false"/>
      <w:spacing w:lineRule="atLeast" w:line="240"/>
    </w:pPr>
    <w:rPr/>
  </w:style>
  <w:style w:type="paragraph" w:styleId="t2">
    <w:name w:val="t2"/>
    <w:basedOn w:val="Normal"/>
    <w:qFormat/>
    <w:pPr>
      <w:widowControl w:val="false"/>
      <w:spacing w:lineRule="atLeast" w:line="240"/>
    </w:pPr>
    <w:rPr/>
  </w:style>
  <w:style w:type="paragraph" w:styleId="c3">
    <w:name w:val="c3"/>
    <w:basedOn w:val="Normal"/>
    <w:qFormat/>
    <w:pPr>
      <w:widowControl w:val="false"/>
      <w:spacing w:lineRule="atLeast" w:line="240"/>
      <w:jc w:val="center"/>
    </w:pPr>
    <w:rPr/>
  </w:style>
  <w:style w:type="paragraph" w:styleId="p4">
    <w:name w:val="p4"/>
    <w:basedOn w:val="Normal"/>
    <w:qFormat/>
    <w:pPr>
      <w:widowControl w:val="false"/>
      <w:tabs>
        <w:tab w:val="clear" w:pos="720"/>
        <w:tab w:val="left" w:pos="1520" w:leader="none"/>
        <w:tab w:val="left" w:pos="3000" w:leader="none"/>
      </w:tabs>
      <w:spacing w:lineRule="atLeast" w:line="280"/>
      <w:ind w:firstLine="1584" w:start="1440" w:end="0"/>
      <w:jc w:val="both"/>
    </w:pPr>
    <w:rPr/>
  </w:style>
  <w:style w:type="paragraph" w:styleId="p5">
    <w:name w:val="p5"/>
    <w:basedOn w:val="Normal"/>
    <w:qFormat/>
    <w:pPr>
      <w:widowControl w:val="false"/>
      <w:tabs>
        <w:tab w:val="clear" w:pos="720"/>
        <w:tab w:val="left" w:pos="1520" w:leader="none"/>
      </w:tabs>
      <w:spacing w:lineRule="atLeast" w:line="280"/>
      <w:ind w:firstLine="1584" w:start="1440" w:end="0"/>
      <w:jc w:val="both"/>
    </w:pPr>
    <w:rPr/>
  </w:style>
  <w:style w:type="paragraph" w:styleId="c6">
    <w:name w:val="c6"/>
    <w:basedOn w:val="Normal"/>
    <w:qFormat/>
    <w:pPr>
      <w:widowControl w:val="false"/>
      <w:spacing w:lineRule="atLeast" w:line="240"/>
      <w:jc w:val="center"/>
    </w:pPr>
    <w:rPr/>
  </w:style>
  <w:style w:type="paragraph" w:styleId="p11">
    <w:name w:val="p11"/>
    <w:basedOn w:val="Normal"/>
    <w:qFormat/>
    <w:pPr>
      <w:widowControl w:val="false"/>
      <w:tabs>
        <w:tab w:val="clear" w:pos="720"/>
        <w:tab w:val="left" w:pos="1500" w:leader="none"/>
      </w:tabs>
      <w:spacing w:lineRule="atLeast" w:line="280"/>
      <w:ind w:firstLine="1440" w:start="1440" w:end="0"/>
      <w:jc w:val="both"/>
    </w:pPr>
    <w:rPr/>
  </w:style>
  <w:style w:type="paragraph" w:styleId="t12">
    <w:name w:val="t12"/>
    <w:basedOn w:val="Normal"/>
    <w:qFormat/>
    <w:pPr>
      <w:widowControl w:val="false"/>
      <w:spacing w:lineRule="atLeast" w:line="240"/>
    </w:pPr>
    <w:rPr/>
  </w:style>
  <w:style w:type="paragraph" w:styleId="p13">
    <w:name w:val="p13"/>
    <w:basedOn w:val="Normal"/>
    <w:qFormat/>
    <w:pPr>
      <w:widowControl w:val="false"/>
      <w:tabs>
        <w:tab w:val="left" w:pos="720" w:leader="none"/>
      </w:tabs>
      <w:spacing w:lineRule="atLeast" w:line="280"/>
      <w:jc w:val="both"/>
    </w:pPr>
    <w:rPr/>
  </w:style>
  <w:style w:type="paragraph" w:styleId="t14">
    <w:name w:val="t14"/>
    <w:basedOn w:val="Normal"/>
    <w:qFormat/>
    <w:pPr>
      <w:widowControl w:val="false"/>
      <w:spacing w:lineRule="atLeast" w:line="240"/>
    </w:pPr>
    <w:rPr/>
  </w:style>
  <w:style w:type="paragraph" w:styleId="p15">
    <w:name w:val="p15"/>
    <w:basedOn w:val="Normal"/>
    <w:qFormat/>
    <w:pPr>
      <w:widowControl w:val="false"/>
      <w:tabs>
        <w:tab w:val="clear" w:pos="720"/>
        <w:tab w:val="left" w:pos="1500" w:leader="none"/>
        <w:tab w:val="left" w:pos="2980" w:leader="none"/>
      </w:tabs>
      <w:spacing w:lineRule="atLeast" w:line="280"/>
      <w:ind w:firstLine="1440" w:start="1440" w:end="0"/>
      <w:jc w:val="both"/>
    </w:pPr>
    <w:rPr/>
  </w:style>
  <w:style w:type="paragraph" w:styleId="c16">
    <w:name w:val="c16"/>
    <w:basedOn w:val="Normal"/>
    <w:qFormat/>
    <w:pPr>
      <w:widowControl w:val="false"/>
      <w:spacing w:lineRule="atLeast" w:line="240"/>
      <w:jc w:val="center"/>
    </w:pPr>
    <w:rPr/>
  </w:style>
  <w:style w:type="paragraph" w:styleId="p18">
    <w:name w:val="p18"/>
    <w:basedOn w:val="Normal"/>
    <w:qFormat/>
    <w:pPr>
      <w:widowControl w:val="false"/>
      <w:tabs>
        <w:tab w:val="left" w:pos="720" w:leader="none"/>
      </w:tabs>
      <w:spacing w:lineRule="atLeast" w:line="280"/>
      <w:jc w:val="both"/>
    </w:pPr>
    <w:rPr/>
  </w:style>
  <w:style w:type="paragraph" w:styleId="p20">
    <w:name w:val="p20"/>
    <w:basedOn w:val="Normal"/>
    <w:qFormat/>
    <w:pPr>
      <w:widowControl w:val="false"/>
      <w:tabs>
        <w:tab w:val="clear" w:pos="720"/>
        <w:tab w:val="left" w:pos="1500" w:leader="none"/>
      </w:tabs>
      <w:spacing w:lineRule="atLeast" w:line="280"/>
      <w:ind w:firstLine="1440" w:start="1440" w:end="0"/>
      <w:jc w:val="both"/>
    </w:pPr>
    <w:rPr/>
  </w:style>
  <w:style w:type="paragraph" w:styleId="p24">
    <w:name w:val="p24"/>
    <w:basedOn w:val="Normal"/>
    <w:qFormat/>
    <w:pPr>
      <w:widowControl w:val="false"/>
      <w:tabs>
        <w:tab w:val="clear" w:pos="720"/>
        <w:tab w:val="left" w:pos="1520" w:leader="none"/>
        <w:tab w:val="left" w:pos="3000" w:leader="none"/>
      </w:tabs>
      <w:spacing w:lineRule="atLeast" w:line="280"/>
      <w:ind w:firstLine="1584" w:start="1440" w:end="0"/>
    </w:pPr>
    <w:rPr/>
  </w:style>
  <w:style w:type="paragraph" w:styleId="p25">
    <w:name w:val="p25"/>
    <w:basedOn w:val="Normal"/>
    <w:qFormat/>
    <w:pPr>
      <w:widowControl w:val="false"/>
      <w:tabs>
        <w:tab w:val="left" w:pos="720" w:leader="none"/>
      </w:tabs>
      <w:spacing w:lineRule="atLeast" w:line="240"/>
    </w:pPr>
    <w:rPr/>
  </w:style>
  <w:style w:type="paragraph" w:styleId="p26">
    <w:name w:val="p26"/>
    <w:basedOn w:val="Normal"/>
    <w:qFormat/>
    <w:pPr>
      <w:widowControl w:val="false"/>
      <w:tabs>
        <w:tab w:val="clear" w:pos="720"/>
        <w:tab w:val="left" w:pos="1500" w:leader="none"/>
      </w:tabs>
      <w:spacing w:lineRule="atLeast" w:line="240"/>
      <w:ind w:hanging="1440" w:start="0" w:end="0"/>
    </w:pPr>
    <w:rPr/>
  </w:style>
  <w:style w:type="paragraph" w:styleId="p27">
    <w:name w:val="p27"/>
    <w:basedOn w:val="Normal"/>
    <w:qFormat/>
    <w:pPr>
      <w:widowControl w:val="false"/>
      <w:tabs>
        <w:tab w:val="clear" w:pos="720"/>
        <w:tab w:val="left" w:pos="1160" w:leader="none"/>
      </w:tabs>
      <w:spacing w:lineRule="atLeast" w:line="280"/>
      <w:ind w:firstLine="1152" w:start="1440" w:end="0"/>
      <w:jc w:val="both"/>
    </w:pPr>
    <w:rPr/>
  </w:style>
  <w:style w:type="paragraph" w:styleId="BodyTextIndent">
    <w:name w:val="Body Text Indent"/>
    <w:basedOn w:val="Normal"/>
    <w:pPr>
      <w:ind w:hanging="0" w:start="1980" w:end="0"/>
    </w:pPr>
    <w:rPr>
      <w:rFonts w:ascii="Garamond" w:hAnsi="Garamond" w:cs="Garamond"/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Center for Houstons Future.dot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2001-10-16T11:55:00Z</dcterms:created>
  <dc:creator>Sandra Munks</dc:creator>
  <dc:description/>
  <dc:language>en-CA</dc:language>
  <cp:lastModifiedBy>Marilou Schopper</cp:lastModifiedBy>
  <cp:lastPrinted>2001-10-15T17:13:00Z</cp:lastPrinted>
  <dcterms:modified xsi:type="dcterms:W3CDTF">2001-10-16T11:55:00Z</dcterms:modified>
  <cp:revision>2</cp:revision>
  <dc:subject/>
  <dc:title>MEETING OF THE BOARD OF DIRECTORS</dc:title>
</cp:coreProperties>
</file>