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drawing>
          <wp:inline distT="0" distB="0" distL="0" distR="0">
            <wp:extent cx="2113915" cy="767080"/>
            <wp:effectExtent l="0" t="0" r="0" b="0"/>
            <wp:docPr id="1" name="McIntire%20logo300dpi-tif"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cIntire%20logo300dpi-tif" descr="" title=""/>
                    <pic:cNvPicPr>
                      <a:picLocks noChangeAspect="1" noChangeArrowheads="1"/>
                    </pic:cNvPicPr>
                  </pic:nvPicPr>
                  <pic:blipFill>
                    <a:blip r:embed="rId2"/>
                    <a:srcRect l="-16" t="-44" r="-16" b="-44"/>
                    <a:stretch>
                      <a:fillRect/>
                    </a:stretch>
                  </pic:blipFill>
                  <pic:spPr bwMode="auto">
                    <a:xfrm>
                      <a:off x="0" y="0"/>
                      <a:ext cx="2113915" cy="767080"/>
                    </a:xfrm>
                    <a:prstGeom prst="rect">
                      <a:avLst/>
                    </a:prstGeom>
                    <a:noFill/>
                  </pic:spPr>
                </pic:pic>
              </a:graphicData>
            </a:graphic>
          </wp:inline>
        </w:drawing>
      </w:r>
    </w:p>
    <w:p>
      <w:pPr>
        <w:pStyle w:val="Normal"/>
        <w:jc w:val="center"/>
        <w:rPr/>
      </w:pPr>
      <w:r>
        <w:rPr/>
      </w:r>
    </w:p>
    <w:p>
      <w:pPr>
        <w:pStyle w:val="Normal"/>
        <w:jc w:val="center"/>
        <w:rPr>
          <w:sz w:val="24"/>
        </w:rPr>
      </w:pPr>
      <w:r>
        <w:rPr>
          <w:sz w:val="24"/>
        </w:rPr>
      </w:r>
    </w:p>
    <w:p>
      <w:pPr>
        <w:pStyle w:val="Normal"/>
        <w:jc w:val="center"/>
        <w:rPr>
          <w:b/>
          <w:sz w:val="24"/>
        </w:rPr>
      </w:pPr>
      <w:r>
        <w:rPr>
          <w:b/>
          <w:sz w:val="24"/>
        </w:rPr>
        <w:t>The McIntire Center for Financial Innovation</w:t>
      </w:r>
    </w:p>
    <w:p>
      <w:pPr>
        <w:pStyle w:val="Normal"/>
        <w:jc w:val="center"/>
        <w:rPr>
          <w:b/>
          <w:sz w:val="24"/>
        </w:rPr>
      </w:pPr>
      <w:r>
        <w:rPr>
          <w:b/>
          <w:sz w:val="24"/>
        </w:rPr>
      </w:r>
    </w:p>
    <w:p>
      <w:pPr>
        <w:pStyle w:val="Normal"/>
        <w:jc w:val="center"/>
        <w:rPr>
          <w:b/>
          <w:i/>
          <w:i/>
          <w:sz w:val="24"/>
        </w:rPr>
      </w:pPr>
      <w:r>
        <w:rPr>
          <w:b/>
          <w:i/>
          <w:sz w:val="24"/>
        </w:rPr>
        <w:t xml:space="preserve"> </w:t>
      </w:r>
      <w:r>
        <w:rPr>
          <w:b/>
          <w:i/>
          <w:sz w:val="24"/>
        </w:rPr>
        <w:t>Symposium</w:t>
      </w:r>
    </w:p>
    <w:p>
      <w:pPr>
        <w:pStyle w:val="Normal"/>
        <w:jc w:val="center"/>
        <w:rPr>
          <w:b/>
          <w:i/>
          <w:i/>
          <w:sz w:val="24"/>
        </w:rPr>
      </w:pPr>
      <w:r>
        <w:rPr>
          <w:b/>
          <w:i/>
          <w:sz w:val="24"/>
        </w:rPr>
        <w:t>Volatile Energy Prices:  Risks and Opportunities</w:t>
      </w:r>
    </w:p>
    <w:p>
      <w:pPr>
        <w:pStyle w:val="Normal"/>
        <w:jc w:val="center"/>
        <w:rPr>
          <w:b/>
          <w:sz w:val="24"/>
        </w:rPr>
      </w:pPr>
      <w:r>
        <w:rPr>
          <w:b/>
          <w:i/>
          <w:sz w:val="24"/>
        </w:rPr>
        <w:t>November 8-9, 2001</w:t>
      </w:r>
    </w:p>
    <w:p>
      <w:pPr>
        <w:pStyle w:val="Normal"/>
        <w:rPr>
          <w:b/>
          <w:sz w:val="24"/>
        </w:rPr>
      </w:pPr>
      <w:r>
        <w:rPr>
          <w:b/>
          <w:sz w:val="24"/>
        </w:rPr>
      </w:r>
    </w:p>
    <w:p>
      <w:pPr>
        <w:pStyle w:val="Normal"/>
        <w:rPr>
          <w:b/>
          <w:sz w:val="24"/>
        </w:rPr>
      </w:pPr>
      <w:r>
        <w:rPr>
          <w:b/>
          <w:sz w:val="24"/>
        </w:rPr>
      </w:r>
    </w:p>
    <w:p>
      <w:pPr>
        <w:pStyle w:val="Normal"/>
        <w:rPr>
          <w:b/>
          <w:sz w:val="24"/>
        </w:rPr>
      </w:pPr>
      <w:r>
        <w:rPr>
          <w:b/>
          <w:sz w:val="24"/>
        </w:rPr>
        <w:t>Symposium Theme</w:t>
      </w:r>
    </w:p>
    <w:p>
      <w:pPr>
        <w:pStyle w:val="Normal"/>
        <w:rPr>
          <w:b/>
          <w:sz w:val="24"/>
        </w:rPr>
      </w:pPr>
      <w:r>
        <w:rPr>
          <w:b/>
          <w:sz w:val="24"/>
        </w:rPr>
      </w:r>
    </w:p>
    <w:p>
      <w:pPr>
        <w:pStyle w:val="BodyText"/>
        <w:jc w:val="both"/>
        <w:rPr/>
      </w:pPr>
      <w:r>
        <w:rPr/>
        <w:t xml:space="preserve">The recent volatility in various energy prices (crude oil, natural gas, and spot electricity in particular) illustrates the practical importance of risk management to consumers, distributors, and producers alike.  It has also created opportunities to create value and shareholder wealth.  This symposium will examine how some major market participants have responded to this enhanced volatility to manage their energy price risk exposure and exploit some of the profit opportunities volatile energy prices create. More specifically, we will explore how some firms have transformed themselves in the wake of deregulation and increased price volatility. Potential issues to be discussed include:  the cause of the recent “electricity energy crisis” in California, whether the problem in California is localized or likely to spread to other parts of the country, the extent to which “deregulation” of the electric utility industry has contributed to price volatility, the relationship between natural gas prices and electricity prices, and how energy firms are changing their focus to take advantage of price volatility.  Particular attention will be directed to assessing potential investment opportunities in the energy sector.   Finally, a panel of traders will provide a birds-eye view of energy price volatility by discussing trading electricity and natural gas. </w:t>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r>
        <w:br w:type="page"/>
      </w:r>
    </w:p>
    <w:p>
      <w:pPr>
        <w:pStyle w:val="Normal"/>
        <w:jc w:val="center"/>
        <w:rPr/>
      </w:pPr>
      <w:r>
        <w:rPr/>
        <w:drawing>
          <wp:inline distT="0" distB="0" distL="0" distR="0">
            <wp:extent cx="2113915" cy="76708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3"/>
                    <a:srcRect l="-16" t="-44" r="-16" b="-44"/>
                    <a:stretch>
                      <a:fillRect/>
                    </a:stretch>
                  </pic:blipFill>
                  <pic:spPr bwMode="auto">
                    <a:xfrm>
                      <a:off x="0" y="0"/>
                      <a:ext cx="2113915" cy="767080"/>
                    </a:xfrm>
                    <a:prstGeom prst="rect">
                      <a:avLst/>
                    </a:prstGeom>
                    <a:noFill/>
                  </pic:spPr>
                </pic:pic>
              </a:graphicData>
            </a:graphic>
          </wp:inline>
        </w:drawing>
      </w:r>
    </w:p>
    <w:p>
      <w:pPr>
        <w:pStyle w:val="Normal"/>
        <w:jc w:val="center"/>
        <w:rPr/>
      </w:pPr>
      <w:r>
        <w:rPr/>
      </w:r>
    </w:p>
    <w:p>
      <w:pPr>
        <w:pStyle w:val="Normal"/>
        <w:jc w:val="center"/>
        <w:rPr>
          <w:b/>
          <w:sz w:val="24"/>
        </w:rPr>
      </w:pPr>
      <w:r>
        <w:rPr>
          <w:b/>
          <w:sz w:val="24"/>
        </w:rPr>
      </w:r>
    </w:p>
    <w:p>
      <w:pPr>
        <w:pStyle w:val="Normal"/>
        <w:jc w:val="center"/>
        <w:rPr>
          <w:b/>
          <w:sz w:val="24"/>
        </w:rPr>
      </w:pPr>
      <w:r>
        <w:rPr>
          <w:b/>
          <w:sz w:val="24"/>
        </w:rPr>
        <w:t>The McIntire Center for Financial Innovation</w:t>
      </w:r>
    </w:p>
    <w:p>
      <w:pPr>
        <w:pStyle w:val="Normal"/>
        <w:jc w:val="center"/>
        <w:rPr>
          <w:b/>
          <w:sz w:val="24"/>
        </w:rPr>
      </w:pPr>
      <w:r>
        <w:rPr>
          <w:b/>
          <w:sz w:val="24"/>
        </w:rPr>
      </w:r>
    </w:p>
    <w:p>
      <w:pPr>
        <w:pStyle w:val="Normal"/>
        <w:jc w:val="center"/>
        <w:rPr>
          <w:b/>
          <w:i/>
          <w:i/>
          <w:sz w:val="28"/>
        </w:rPr>
      </w:pPr>
      <w:r>
        <w:rPr>
          <w:b/>
          <w:i/>
          <w:sz w:val="28"/>
        </w:rPr>
        <w:t>Symposium</w:t>
      </w:r>
    </w:p>
    <w:p>
      <w:pPr>
        <w:pStyle w:val="Normal"/>
        <w:jc w:val="center"/>
        <w:rPr>
          <w:b/>
          <w:i/>
          <w:i/>
          <w:sz w:val="28"/>
        </w:rPr>
      </w:pPr>
      <w:r>
        <w:rPr>
          <w:b/>
          <w:i/>
          <w:sz w:val="28"/>
        </w:rPr>
        <w:t>Volatile Energy Prices: Risks and Opportunities</w:t>
      </w:r>
    </w:p>
    <w:p>
      <w:pPr>
        <w:pStyle w:val="Normal"/>
        <w:jc w:val="center"/>
        <w:rPr>
          <w:b/>
          <w:sz w:val="28"/>
        </w:rPr>
      </w:pPr>
      <w:r>
        <w:rPr>
          <w:b/>
          <w:i/>
          <w:sz w:val="28"/>
        </w:rPr>
        <w:t>November 8-9, 2001</w:t>
      </w:r>
    </w:p>
    <w:p>
      <w:pPr>
        <w:pStyle w:val="Normal"/>
        <w:jc w:val="center"/>
        <w:rPr>
          <w:b/>
          <w:sz w:val="24"/>
        </w:rPr>
      </w:pPr>
      <w:r>
        <w:rPr>
          <w:b/>
          <w:sz w:val="24"/>
        </w:rPr>
      </w:r>
    </w:p>
    <w:p>
      <w:pPr>
        <w:pStyle w:val="Heading1"/>
        <w:ind w:hanging="0" w:start="0"/>
        <w:rPr>
          <w:b/>
          <w:sz w:val="24"/>
        </w:rPr>
      </w:pPr>
      <w:r>
        <w:rPr>
          <w:b/>
          <w:sz w:val="24"/>
        </w:rPr>
      </w:r>
    </w:p>
    <w:p>
      <w:pPr>
        <w:pStyle w:val="Heading1"/>
        <w:ind w:hanging="0" w:start="0"/>
        <w:rPr>
          <w:b/>
          <w:sz w:val="28"/>
        </w:rPr>
      </w:pPr>
      <w:r>
        <w:rPr>
          <w:b/>
          <w:sz w:val="28"/>
        </w:rPr>
        <w:t>Thursday, Nov. 8, 2001</w:t>
      </w:r>
    </w:p>
    <w:p>
      <w:pPr>
        <w:pStyle w:val="Normal"/>
        <w:rPr>
          <w:b/>
          <w:sz w:val="28"/>
        </w:rPr>
      </w:pPr>
      <w:r>
        <w:rPr>
          <w:b/>
          <w:sz w:val="28"/>
        </w:rPr>
      </w:r>
    </w:p>
    <w:p>
      <w:pPr>
        <w:pStyle w:val="Heading1"/>
        <w:ind w:hanging="0" w:start="0"/>
        <w:rPr/>
      </w:pPr>
      <w:r>
        <w:rPr/>
        <w:t>5:30 p.m.</w:t>
        <w:tab/>
      </w:r>
      <w:r>
        <w:rPr>
          <w:i/>
        </w:rPr>
        <w:t>Private Lawn Tour</w:t>
      </w:r>
    </w:p>
    <w:p>
      <w:pPr>
        <w:pStyle w:val="Heading1"/>
        <w:ind w:hanging="0" w:start="0"/>
        <w:rPr/>
      </w:pPr>
      <w:r>
        <w:rPr/>
      </w:r>
    </w:p>
    <w:p>
      <w:pPr>
        <w:pStyle w:val="Heading1"/>
        <w:ind w:hanging="0" w:start="0"/>
        <w:rPr/>
      </w:pPr>
      <w:r>
        <w:rPr/>
        <w:t>6:00 p.m.</w:t>
        <w:tab/>
      </w:r>
      <w:r>
        <w:rPr>
          <w:i/>
        </w:rPr>
        <w:t>Buffet Reception at Pavilion X, on The Lawn</w:t>
      </w:r>
    </w:p>
    <w:p>
      <w:pPr>
        <w:pStyle w:val="Heading1"/>
        <w:ind w:hanging="0" w:start="0"/>
        <w:rPr/>
      </w:pPr>
      <w:r>
        <w:rPr/>
        <w:tab/>
      </w:r>
    </w:p>
    <w:p>
      <w:pPr>
        <w:pStyle w:val="Heading2"/>
        <w:ind w:hanging="0" w:start="0"/>
        <w:rPr/>
      </w:pPr>
      <w:r>
        <w:rPr/>
      </w:r>
    </w:p>
    <w:p>
      <w:pPr>
        <w:pStyle w:val="Heading2"/>
        <w:ind w:hanging="0" w:start="0"/>
        <w:rPr>
          <w:sz w:val="28"/>
        </w:rPr>
      </w:pPr>
      <w:r>
        <w:rPr>
          <w:sz w:val="28"/>
        </w:rPr>
        <w:t>Friday, Nov. 9, 2001</w:t>
      </w:r>
    </w:p>
    <w:p>
      <w:pPr>
        <w:pStyle w:val="Normal"/>
        <w:rPr>
          <w:sz w:val="28"/>
        </w:rPr>
      </w:pPr>
      <w:r>
        <w:rPr>
          <w:sz w:val="28"/>
        </w:rPr>
      </w:r>
    </w:p>
    <w:p>
      <w:pPr>
        <w:pStyle w:val="Heading3"/>
        <w:ind w:hanging="0" w:start="0"/>
        <w:rPr/>
      </w:pPr>
      <w:r>
        <w:rPr/>
        <w:t>Program Agenda</w:t>
      </w:r>
    </w:p>
    <w:p>
      <w:pPr>
        <w:pStyle w:val="Normal"/>
        <w:rPr/>
      </w:pPr>
      <w:r>
        <w:rPr/>
      </w:r>
    </w:p>
    <w:p>
      <w:pPr>
        <w:pStyle w:val="Heading1"/>
        <w:ind w:hanging="0" w:start="0"/>
        <w:rPr>
          <w:b/>
        </w:rPr>
      </w:pPr>
      <w:r>
        <w:rPr>
          <w:b/>
        </w:rPr>
        <w:t>Symposium at the McIntire School of Commerce (Monroe Hall Room 130)</w:t>
      </w:r>
    </w:p>
    <w:p>
      <w:pPr>
        <w:pStyle w:val="Normal"/>
        <w:rPr>
          <w:b/>
        </w:rPr>
      </w:pPr>
      <w:r>
        <w:rPr>
          <w:b/>
        </w:rPr>
      </w:r>
    </w:p>
    <w:p>
      <w:pPr>
        <w:pStyle w:val="Normal"/>
        <w:rPr>
          <w:sz w:val="24"/>
        </w:rPr>
      </w:pPr>
      <w:r>
        <w:rPr>
          <w:sz w:val="24"/>
        </w:rPr>
        <w:t>8:00 a.m.</w:t>
        <w:tab/>
      </w:r>
      <w:r>
        <w:rPr>
          <w:i/>
          <w:sz w:val="24"/>
        </w:rPr>
        <w:t>Continental Breakfast (Monroe Hall Room 110)</w:t>
      </w:r>
    </w:p>
    <w:p>
      <w:pPr>
        <w:pStyle w:val="Normal"/>
        <w:rPr>
          <w:sz w:val="24"/>
        </w:rPr>
      </w:pPr>
      <w:r>
        <w:rPr>
          <w:sz w:val="24"/>
        </w:rPr>
      </w:r>
    </w:p>
    <w:p>
      <w:pPr>
        <w:pStyle w:val="Normal"/>
        <w:rPr/>
      </w:pPr>
      <w:r>
        <w:rPr>
          <w:sz w:val="24"/>
        </w:rPr>
        <w:t>8:30 a.m.</w:t>
        <w:tab/>
      </w:r>
      <w:r>
        <w:rPr>
          <w:i/>
          <w:sz w:val="24"/>
        </w:rPr>
        <w:t>Welcoming Remarks and Introduction of Participants</w:t>
      </w:r>
    </w:p>
    <w:p>
      <w:pPr>
        <w:pStyle w:val="Normal"/>
        <w:rPr>
          <w:i/>
          <w:i/>
          <w:sz w:val="24"/>
        </w:rPr>
      </w:pPr>
      <w:r>
        <w:rPr>
          <w:i/>
          <w:sz w:val="24"/>
        </w:rPr>
      </w:r>
    </w:p>
    <w:p>
      <w:pPr>
        <w:pStyle w:val="BodyTextIndent"/>
        <w:rPr/>
      </w:pPr>
      <w:r>
        <w:rPr/>
        <w:t>Robert Webb, Director, The McIntire Center for Financial Innovation, McIntire School of Commerce</w:t>
      </w:r>
    </w:p>
    <w:p>
      <w:pPr>
        <w:pStyle w:val="Normal"/>
        <w:ind w:hanging="1440" w:start="2880" w:end="0"/>
        <w:rPr>
          <w:sz w:val="24"/>
        </w:rPr>
      </w:pPr>
      <w:r>
        <w:rPr>
          <w:sz w:val="24"/>
        </w:rPr>
      </w:r>
    </w:p>
    <w:p>
      <w:pPr>
        <w:pStyle w:val="Normal"/>
        <w:rPr/>
      </w:pPr>
      <w:r>
        <w:rPr>
          <w:sz w:val="24"/>
        </w:rPr>
        <w:t xml:space="preserve">8:45 a.m. </w:t>
        <w:tab/>
      </w:r>
      <w:r>
        <w:rPr>
          <w:i/>
          <w:sz w:val="24"/>
        </w:rPr>
        <w:t xml:space="preserve">Panel Discussion: “Energy Price Risks and Profit Opportunities: </w:t>
      </w:r>
    </w:p>
    <w:p>
      <w:pPr>
        <w:pStyle w:val="Normal"/>
        <w:ind w:start="1440" w:end="0"/>
        <w:rPr>
          <w:sz w:val="24"/>
        </w:rPr>
      </w:pPr>
      <w:r>
        <w:rPr>
          <w:i/>
          <w:sz w:val="24"/>
        </w:rPr>
        <w:t>A Managerial Perspective”</w:t>
      </w:r>
    </w:p>
    <w:p>
      <w:pPr>
        <w:pStyle w:val="Normal"/>
        <w:ind w:start="2880" w:end="0"/>
        <w:rPr>
          <w:sz w:val="24"/>
        </w:rPr>
      </w:pPr>
      <w:r>
        <w:rPr>
          <w:sz w:val="24"/>
        </w:rPr>
      </w:r>
    </w:p>
    <w:p>
      <w:pPr>
        <w:pStyle w:val="Normal"/>
        <w:ind w:start="2160" w:end="0"/>
        <w:rPr/>
      </w:pPr>
      <w:r>
        <w:rPr>
          <w:i/>
          <w:sz w:val="24"/>
        </w:rPr>
        <w:t>Moderator:</w:t>
      </w:r>
      <w:r>
        <w:rPr>
          <w:sz w:val="24"/>
        </w:rPr>
        <w:t xml:space="preserve"> To be determined </w:t>
      </w:r>
    </w:p>
    <w:p>
      <w:pPr>
        <w:pStyle w:val="Normal"/>
        <w:ind w:start="2880" w:end="0"/>
        <w:rPr>
          <w:sz w:val="24"/>
        </w:rPr>
      </w:pPr>
      <w:r>
        <w:rPr>
          <w:sz w:val="24"/>
        </w:rPr>
      </w:r>
    </w:p>
    <w:p>
      <w:pPr>
        <w:pStyle w:val="Normal"/>
        <w:rPr/>
      </w:pPr>
      <w:r>
        <w:rPr>
          <w:sz w:val="24"/>
        </w:rPr>
        <w:tab/>
        <w:tab/>
        <w:tab/>
      </w:r>
      <w:r>
        <w:rPr>
          <w:i/>
          <w:sz w:val="24"/>
        </w:rPr>
        <w:t>Panelists:</w:t>
      </w:r>
    </w:p>
    <w:p>
      <w:pPr>
        <w:pStyle w:val="BodyTextIndent"/>
        <w:rPr>
          <w:b/>
        </w:rPr>
      </w:pPr>
      <w:r>
        <w:rPr/>
        <w:t>Paul Koonce, Senior Vice President of Market Services, Dominion Resources, Inc.</w:t>
      </w:r>
    </w:p>
    <w:p>
      <w:pPr>
        <w:pStyle w:val="Normal"/>
        <w:ind w:start="2160" w:end="0"/>
        <w:rPr>
          <w:sz w:val="24"/>
        </w:rPr>
      </w:pPr>
      <w:r>
        <w:rPr>
          <w:sz w:val="24"/>
        </w:rPr>
        <w:t>Dr. Jay Lukens, President, Lukens Consulting Group (tentative)</w:t>
      </w:r>
    </w:p>
    <w:p>
      <w:pPr>
        <w:pStyle w:val="BodyTextIndent"/>
        <w:rPr/>
      </w:pPr>
      <w:r>
        <w:rPr/>
        <w:t xml:space="preserve">William P. Utt (Engineering </w:t>
      </w:r>
      <w:r>
        <w:rPr>
          <w:rFonts w:cs="Arial" w:ascii="Arial" w:hAnsi="Arial"/>
        </w:rPr>
        <w:t>‘</w:t>
      </w:r>
      <w:r>
        <w:rPr/>
        <w:t>79/</w:t>
      </w:r>
      <w:r>
        <w:rPr>
          <w:rFonts w:cs="Arial" w:ascii="Arial" w:hAnsi="Arial"/>
        </w:rPr>
        <w:t>’</w:t>
      </w:r>
      <w:r>
        <w:rPr/>
        <w:t xml:space="preserve">80, Darden </w:t>
      </w:r>
      <w:r>
        <w:rPr>
          <w:rFonts w:cs="Arial" w:ascii="Arial" w:hAnsi="Arial"/>
        </w:rPr>
        <w:t>‘</w:t>
      </w:r>
      <w:r>
        <w:rPr/>
        <w:t>84), President and CEO, Tractebel North America</w:t>
      </w:r>
    </w:p>
    <w:p>
      <w:pPr>
        <w:pStyle w:val="Heading1"/>
        <w:ind w:hanging="0" w:start="0"/>
        <w:rPr/>
      </w:pPr>
      <w:r>
        <w:rPr/>
      </w:r>
    </w:p>
    <w:p>
      <w:pPr>
        <w:pStyle w:val="Normal"/>
        <w:rPr>
          <w:sz w:val="24"/>
        </w:rPr>
      </w:pPr>
      <w:r>
        <w:rPr>
          <w:sz w:val="24"/>
        </w:rPr>
        <w:t>10 a.m.</w:t>
        <w:tab/>
        <w:tab/>
      </w:r>
      <w:r>
        <w:rPr>
          <w:i/>
          <w:sz w:val="24"/>
        </w:rPr>
        <w:t>Break</w:t>
      </w:r>
    </w:p>
    <w:p>
      <w:pPr>
        <w:pStyle w:val="Normal"/>
        <w:rPr>
          <w:sz w:val="24"/>
        </w:rPr>
      </w:pPr>
      <w:r>
        <w:rPr>
          <w:sz w:val="24"/>
        </w:rPr>
      </w:r>
    </w:p>
    <w:p>
      <w:pPr>
        <w:pStyle w:val="Normal"/>
        <w:rPr>
          <w:sz w:val="24"/>
        </w:rPr>
      </w:pPr>
      <w:r>
        <w:rPr>
          <w:sz w:val="24"/>
        </w:rPr>
        <w:t>10:15 a.m.</w:t>
        <w:tab/>
      </w:r>
      <w:r>
        <w:rPr>
          <w:i/>
          <w:sz w:val="24"/>
        </w:rPr>
        <w:t>Panel Discussion: “Investing in the Energy Sector”</w:t>
      </w:r>
    </w:p>
    <w:p>
      <w:pPr>
        <w:pStyle w:val="Normal"/>
        <w:rPr>
          <w:sz w:val="24"/>
        </w:rPr>
      </w:pPr>
      <w:r>
        <w:rPr>
          <w:sz w:val="24"/>
        </w:rPr>
      </w:r>
    </w:p>
    <w:p>
      <w:pPr>
        <w:pStyle w:val="Normal"/>
        <w:ind w:start="2160" w:end="0"/>
        <w:rPr/>
      </w:pPr>
      <w:r>
        <w:rPr>
          <w:i/>
          <w:sz w:val="24"/>
        </w:rPr>
        <w:t>Moderator</w:t>
      </w:r>
      <w:r>
        <w:rPr>
          <w:sz w:val="24"/>
        </w:rPr>
        <w:t>: To be determined</w:t>
      </w:r>
    </w:p>
    <w:p>
      <w:pPr>
        <w:pStyle w:val="Normal"/>
        <w:ind w:firstLine="720" w:start="720" w:end="0"/>
        <w:rPr>
          <w:sz w:val="24"/>
        </w:rPr>
      </w:pPr>
      <w:r>
        <w:rPr>
          <w:sz w:val="24"/>
        </w:rPr>
      </w:r>
    </w:p>
    <w:p>
      <w:pPr>
        <w:pStyle w:val="Normal"/>
        <w:ind w:firstLine="720" w:start="720" w:end="0"/>
        <w:rPr>
          <w:b/>
          <w:i/>
          <w:i/>
          <w:sz w:val="24"/>
        </w:rPr>
      </w:pPr>
      <w:r>
        <w:rPr>
          <w:sz w:val="24"/>
        </w:rPr>
        <w:tab/>
      </w:r>
      <w:r>
        <w:rPr>
          <w:i/>
          <w:sz w:val="24"/>
        </w:rPr>
        <w:t>Panelists:</w:t>
      </w:r>
    </w:p>
    <w:p>
      <w:pPr>
        <w:pStyle w:val="Normal"/>
        <w:ind w:firstLine="720" w:start="720" w:end="0"/>
        <w:rPr>
          <w:sz w:val="24"/>
        </w:rPr>
      </w:pPr>
      <w:r>
        <w:rPr>
          <w:sz w:val="24"/>
        </w:rPr>
        <w:tab/>
        <w:t>Kenneth Beer, Partner, Johnson Rice &amp; Company</w:t>
      </w:r>
    </w:p>
    <w:p>
      <w:pPr>
        <w:pStyle w:val="Normal"/>
        <w:ind w:firstLine="720" w:start="1440" w:end="0"/>
        <w:rPr>
          <w:sz w:val="24"/>
        </w:rPr>
      </w:pPr>
      <w:r>
        <w:rPr>
          <w:sz w:val="24"/>
        </w:rPr>
        <w:t>Philip Deutch, Partner, Perseus</w:t>
      </w:r>
    </w:p>
    <w:p>
      <w:pPr>
        <w:pStyle w:val="Normal"/>
        <w:rPr>
          <w:sz w:val="24"/>
        </w:rPr>
      </w:pPr>
      <w:r>
        <w:rPr>
          <w:sz w:val="24"/>
        </w:rPr>
        <w:tab/>
        <w:tab/>
        <w:tab/>
        <w:t>Energy analyst (to be determined)</w:t>
      </w:r>
    </w:p>
    <w:p>
      <w:pPr>
        <w:pStyle w:val="Normal"/>
        <w:rPr>
          <w:sz w:val="24"/>
        </w:rPr>
      </w:pPr>
      <w:r>
        <w:rPr>
          <w:sz w:val="24"/>
        </w:rPr>
      </w:r>
    </w:p>
    <w:p>
      <w:pPr>
        <w:pStyle w:val="Normal"/>
        <w:rPr/>
      </w:pPr>
      <w:r>
        <w:rPr>
          <w:sz w:val="24"/>
        </w:rPr>
        <w:t xml:space="preserve">11:15 a.m. </w:t>
        <w:tab/>
      </w:r>
      <w:r>
        <w:rPr>
          <w:i/>
          <w:sz w:val="24"/>
        </w:rPr>
        <w:t>Panel Discussion: “Energy Trading: Natural Gas and Electricity”</w:t>
      </w:r>
    </w:p>
    <w:p>
      <w:pPr>
        <w:pStyle w:val="Normal"/>
        <w:rPr>
          <w:i/>
          <w:i/>
          <w:sz w:val="24"/>
        </w:rPr>
      </w:pPr>
      <w:r>
        <w:rPr>
          <w:i/>
          <w:sz w:val="24"/>
        </w:rPr>
        <w:tab/>
      </w:r>
    </w:p>
    <w:p>
      <w:pPr>
        <w:pStyle w:val="Normal"/>
        <w:rPr/>
      </w:pPr>
      <w:r>
        <w:rPr>
          <w:i/>
          <w:sz w:val="24"/>
        </w:rPr>
        <w:tab/>
        <w:tab/>
        <w:tab/>
        <w:t>Moderator:</w:t>
      </w:r>
      <w:r>
        <w:rPr>
          <w:sz w:val="24"/>
        </w:rPr>
        <w:t xml:space="preserve"> Robert Webb</w:t>
      </w:r>
    </w:p>
    <w:p>
      <w:pPr>
        <w:pStyle w:val="Normal"/>
        <w:rPr>
          <w:i/>
          <w:i/>
          <w:sz w:val="24"/>
        </w:rPr>
      </w:pPr>
      <w:r>
        <w:rPr>
          <w:i/>
          <w:sz w:val="24"/>
        </w:rPr>
      </w:r>
    </w:p>
    <w:p>
      <w:pPr>
        <w:pStyle w:val="Normal"/>
        <w:ind w:firstLine="720" w:start="720" w:end="0"/>
        <w:rPr/>
      </w:pPr>
      <w:r>
        <w:rPr>
          <w:sz w:val="24"/>
        </w:rPr>
        <w:tab/>
      </w:r>
      <w:r>
        <w:rPr>
          <w:i/>
          <w:sz w:val="24"/>
        </w:rPr>
        <w:t>Panelists:</w:t>
      </w:r>
    </w:p>
    <w:p>
      <w:pPr>
        <w:pStyle w:val="Normal"/>
        <w:ind w:hanging="360" w:start="2520" w:end="0"/>
        <w:rPr/>
      </w:pPr>
      <w:r>
        <w:rPr>
          <w:sz w:val="24"/>
        </w:rPr>
        <w:t xml:space="preserve">Michael Selman (Arts &amp; Sciences </w:t>
      </w:r>
      <w:r>
        <w:rPr>
          <w:rFonts w:cs="Arial" w:ascii="Arial" w:hAnsi="Arial"/>
          <w:sz w:val="24"/>
        </w:rPr>
        <w:t>’</w:t>
      </w:r>
      <w:r>
        <w:rPr>
          <w:sz w:val="24"/>
        </w:rPr>
        <w:t xml:space="preserve">80, McIntire </w:t>
      </w:r>
      <w:r>
        <w:rPr>
          <w:rFonts w:cs="Arial" w:ascii="Arial" w:hAnsi="Arial"/>
          <w:sz w:val="24"/>
        </w:rPr>
        <w:t>‘</w:t>
      </w:r>
      <w:r>
        <w:rPr>
          <w:sz w:val="24"/>
        </w:rPr>
        <w:t>82), Vice President, The Williams Companies</w:t>
      </w:r>
    </w:p>
    <w:p>
      <w:pPr>
        <w:pStyle w:val="Heading6"/>
        <w:rPr>
          <w:b/>
        </w:rPr>
      </w:pPr>
      <w:r>
        <w:rPr/>
        <w:t>Beau Taylor, Vice President, Morgan Stanley Dean Witter &amp; Company</w:t>
      </w:r>
    </w:p>
    <w:p>
      <w:pPr>
        <w:pStyle w:val="BodyTextIndent"/>
        <w:rPr/>
      </w:pPr>
      <w:r>
        <w:rPr/>
        <w:t>Rick Thatcher, Vice President of Market Services, Dominion Resources, Inc.</w:t>
      </w:r>
    </w:p>
    <w:p>
      <w:pPr>
        <w:pStyle w:val="Normal"/>
        <w:rPr>
          <w:sz w:val="24"/>
        </w:rPr>
      </w:pPr>
      <w:r>
        <w:rPr>
          <w:sz w:val="24"/>
        </w:rPr>
        <w:tab/>
        <w:tab/>
        <w:tab/>
        <w:t>Enron representative (to be determined)</w:t>
      </w:r>
    </w:p>
    <w:p>
      <w:pPr>
        <w:pStyle w:val="Normal"/>
        <w:rPr>
          <w:sz w:val="24"/>
        </w:rPr>
      </w:pPr>
      <w:r>
        <w:rPr>
          <w:sz w:val="24"/>
        </w:rPr>
      </w:r>
    </w:p>
    <w:p>
      <w:pPr>
        <w:pStyle w:val="Normal"/>
        <w:rPr>
          <w:sz w:val="24"/>
        </w:rPr>
      </w:pPr>
      <w:r>
        <w:rPr>
          <w:sz w:val="24"/>
        </w:rPr>
        <w:t>12:15 p.m.</w:t>
        <w:tab/>
      </w:r>
      <w:r>
        <w:rPr>
          <w:i/>
          <w:sz w:val="24"/>
        </w:rPr>
        <w:t>Closing remarks and adjournment</w:t>
      </w:r>
    </w:p>
    <w:p>
      <w:pPr>
        <w:pStyle w:val="Normal"/>
        <w:rPr>
          <w:sz w:val="24"/>
        </w:rPr>
      </w:pPr>
      <w:r>
        <w:rPr>
          <w:sz w:val="24"/>
        </w:rPr>
        <w:t xml:space="preserve"> </w:t>
      </w:r>
    </w:p>
    <w:p>
      <w:pPr>
        <w:pStyle w:val="Normal"/>
        <w:rPr/>
      </w:pPr>
      <w:r>
        <w:rPr>
          <w:sz w:val="24"/>
        </w:rPr>
        <w:t>12:30 p.m.</w:t>
        <w:tab/>
      </w:r>
      <w:r>
        <w:rPr>
          <w:i/>
          <w:sz w:val="24"/>
        </w:rPr>
        <w:t>Lunch (Monroe Hall Room 110)</w:t>
      </w:r>
      <w:r>
        <w:rPr>
          <w:sz w:val="24"/>
        </w:rPr>
        <w:t xml:space="preserve"> </w:t>
      </w:r>
    </w:p>
    <w:p>
      <w:pPr>
        <w:pStyle w:val="Normal"/>
        <w:rPr>
          <w:sz w:val="24"/>
        </w:rPr>
      </w:pPr>
      <w:r>
        <w:rPr>
          <w:sz w:val="24"/>
        </w:rPr>
      </w:r>
    </w:p>
    <w:p>
      <w:pPr>
        <w:pStyle w:val="Normal"/>
        <w:rPr>
          <w:i/>
          <w:i/>
          <w:sz w:val="24"/>
        </w:rPr>
      </w:pPr>
      <w:r>
        <w:rPr>
          <w:i/>
          <w:sz w:val="24"/>
        </w:rPr>
      </w:r>
    </w:p>
    <w:p>
      <w:pPr>
        <w:pStyle w:val="Heading4"/>
        <w:ind w:hanging="0" w:start="0"/>
        <w:rPr/>
      </w:pPr>
      <w:r>
        <w:rPr/>
        <w:t>Saturday, Nov. 10, 2001</w:t>
      </w:r>
    </w:p>
    <w:p>
      <w:pPr>
        <w:pStyle w:val="Normal"/>
        <w:rPr>
          <w:sz w:val="24"/>
        </w:rPr>
      </w:pPr>
      <w:r>
        <w:rPr>
          <w:sz w:val="24"/>
        </w:rPr>
      </w:r>
    </w:p>
    <w:p>
      <w:pPr>
        <w:pStyle w:val="Heading5"/>
        <w:ind w:hanging="0" w:start="0"/>
        <w:rPr/>
      </w:pPr>
      <w:r>
        <w:rPr/>
        <w:t>University of Virginia v. Georgia Tech Football Game at the Scott Stadium</w:t>
      </w:r>
    </w:p>
    <w:p>
      <w:pPr>
        <w:pStyle w:val="BodyText"/>
        <w:rPr/>
      </w:pPr>
      <w:r>
        <w:rPr/>
        <w:t>Call Maria Salazar on 804-924-3176 to reserve a seat in the McIntire Skybox Suite.  Tickets are limited and will be issued on a first come first served basis.</w:t>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overflowPunct w:val="false"/>
      <w:autoSpaceDE w:val="false"/>
      <w:bidi w:val="0"/>
      <w:textAlignment w:val="baseline"/>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outlineLvl w:val="1"/>
    </w:pPr>
    <w:rPr>
      <w:b/>
      <w:sz w:val="24"/>
    </w:rPr>
  </w:style>
  <w:style w:type="paragraph" w:styleId="Heading3">
    <w:name w:val="heading 3"/>
    <w:basedOn w:val="Normal"/>
    <w:next w:val="Normal"/>
    <w:qFormat/>
    <w:pPr>
      <w:keepNext w:val="true"/>
      <w:numPr>
        <w:ilvl w:val="2"/>
        <w:numId w:val="1"/>
      </w:numPr>
      <w:jc w:val="center"/>
      <w:outlineLvl w:val="2"/>
    </w:pPr>
    <w:rPr>
      <w:b/>
      <w:sz w:val="28"/>
    </w:rPr>
  </w:style>
  <w:style w:type="paragraph" w:styleId="Heading4">
    <w:name w:val="heading 4"/>
    <w:basedOn w:val="Normal"/>
    <w:next w:val="Normal"/>
    <w:qFormat/>
    <w:pPr>
      <w:keepNext w:val="true"/>
      <w:numPr>
        <w:ilvl w:val="3"/>
        <w:numId w:val="1"/>
      </w:numPr>
      <w:outlineLvl w:val="3"/>
    </w:pPr>
    <w:rPr>
      <w:b/>
      <w:sz w:val="28"/>
    </w:rPr>
  </w:style>
  <w:style w:type="paragraph" w:styleId="Heading5">
    <w:name w:val="heading 5"/>
    <w:basedOn w:val="Normal"/>
    <w:next w:val="Normal"/>
    <w:qFormat/>
    <w:pPr>
      <w:keepNext w:val="true"/>
      <w:numPr>
        <w:ilvl w:val="4"/>
        <w:numId w:val="1"/>
      </w:numPr>
      <w:outlineLvl w:val="4"/>
    </w:pPr>
    <w:rPr>
      <w:i/>
      <w:sz w:val="24"/>
    </w:rPr>
  </w:style>
  <w:style w:type="paragraph" w:styleId="Heading6">
    <w:name w:val="heading 6"/>
    <w:basedOn w:val="Normal"/>
    <w:next w:val="Normal"/>
    <w:qFormat/>
    <w:pPr>
      <w:keepNext w:val="true"/>
      <w:numPr>
        <w:ilvl w:val="5"/>
        <w:numId w:val="1"/>
      </w:numPr>
      <w:ind w:hanging="0" w:start="2160" w:end="0"/>
      <w:outlineLvl w:val="5"/>
    </w:pPr>
    <w:rPr>
      <w:sz w:val="24"/>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ind w:hanging="0" w:start="2880" w:end="0"/>
    </w:pPr>
    <w:rPr>
      <w:sz w:val="24"/>
    </w:rPr>
  </w:style>
  <w:style w:type="paragraph" w:styleId="BodyTextIndent">
    <w:name w:val="Body Text Indent"/>
    <w:basedOn w:val="Normal"/>
    <w:pPr>
      <w:ind w:hanging="360" w:start="2520" w:end="0"/>
    </w:pPr>
    <w:rPr>
      <w:sz w:val="24"/>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2001-10-05T15:18:00Z</dcterms:created>
  <dc:creator>Goeorge Overstreet</dc:creator>
  <dc:description/>
  <dc:language>en-CA</dc:language>
  <cp:lastModifiedBy>Kathy Alderson</cp:lastModifiedBy>
  <cp:lastPrinted>2001-10-05T12:19:00Z</cp:lastPrinted>
  <dcterms:modified xsi:type="dcterms:W3CDTF">2001-10-05T15:18:00Z</dcterms:modified>
  <cp:revision>2</cp:revision>
  <dc:subject/>
  <dc:title>Inaugural Symposium: McIntire’s Center for Growth Enterprises (and Center for Financial Innovations)</dc:title>
</cp:coreProperties>
</file>