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  <w:t>Agenda Full Panel Hearing</w:t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  <w:t>Natural Gas Strategy Investigation (I.99-07-003)</w:t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  <w:t xml:space="preserve">May 22, 2001, 2:00-4:00 PM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6"/>
        </w:rPr>
        <w:t>AUDITORIUM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i/>
          <w:i/>
          <w:sz w:val="26"/>
        </w:rPr>
      </w:pPr>
      <w:r>
        <w:rPr>
          <w:b/>
          <w:i/>
          <w:sz w:val="26"/>
        </w:rPr>
        <w:t>Introduction</w:t>
      </w:r>
      <w:r>
        <w:rPr>
          <w:i/>
          <w:sz w:val="26"/>
        </w:rPr>
        <w:t>:</w:t>
        <w:tab/>
        <w:t>(5-10 Minutes)</w:t>
      </w:r>
    </w:p>
    <w:p>
      <w:pPr>
        <w:pStyle w:val="Normal"/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Commissioner Bilas</w:t>
      </w:r>
    </w:p>
    <w:p>
      <w:pPr>
        <w:pStyle w:val="Normal"/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ALJ John Wong</w:t>
      </w:r>
    </w:p>
    <w:p>
      <w:pPr>
        <w:pStyle w:val="Normal"/>
        <w:numPr>
          <w:ilvl w:val="0"/>
          <w:numId w:val="3"/>
        </w:numPr>
        <w:rPr>
          <w:sz w:val="26"/>
        </w:rPr>
      </w:pPr>
      <w:r>
        <w:rPr>
          <w:sz w:val="26"/>
        </w:rPr>
        <w:t>Comments of other Commissioners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2"/>
        </w:numPr>
        <w:rPr>
          <w:i/>
          <w:i/>
          <w:sz w:val="26"/>
        </w:rPr>
      </w:pPr>
      <w:r>
        <w:rPr>
          <w:b/>
          <w:i/>
          <w:sz w:val="26"/>
        </w:rPr>
        <w:t>Parties to the Comprehensive Settlement</w:t>
      </w:r>
      <w:r>
        <w:rPr>
          <w:i/>
          <w:sz w:val="26"/>
        </w:rPr>
        <w:t>:</w:t>
      </w:r>
    </w:p>
    <w:p>
      <w:pPr>
        <w:pStyle w:val="Normal"/>
        <w:ind w:firstLine="720" w:end="0"/>
        <w:rPr/>
      </w:pPr>
      <w:r>
        <w:rPr>
          <w:i/>
          <w:sz w:val="26"/>
        </w:rPr>
        <w:t>(5 minutes each – 50 minutes total)</w:t>
      </w:r>
      <w:r>
        <w:rPr>
          <w:sz w:val="26"/>
        </w:rPr>
        <w:t xml:space="preserve"> </w:t>
      </w:r>
    </w:p>
    <w:p>
      <w:pPr>
        <w:pStyle w:val="Normal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Southern California Gas Company - to be announced</w:t>
      </w:r>
    </w:p>
    <w:p>
      <w:pPr>
        <w:pStyle w:val="Normal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Office of Ratepayer Advocates – Patrick Gileau/Mark Pocta</w:t>
      </w:r>
    </w:p>
    <w:p>
      <w:pPr>
        <w:pStyle w:val="Normal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 xml:space="preserve">Southern California Edison – Michael Alexander </w:t>
      </w:r>
    </w:p>
    <w:p>
      <w:pPr>
        <w:pStyle w:val="Normal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Long Beach – Patrick Power</w:t>
      </w:r>
    </w:p>
    <w:p>
      <w:pPr>
        <w:pStyle w:val="Normal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Calif. Industrial Group/Calif. Manufacturers and Technology Association – Keith McCrea</w:t>
      </w:r>
    </w:p>
    <w:p>
      <w:pPr>
        <w:pStyle w:val="Normal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Enron Energy Services/Enron North America – Jeff Dasovich</w:t>
      </w:r>
    </w:p>
    <w:p>
      <w:pPr>
        <w:pStyle w:val="Normal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Coral Energy Resources/Shell Energy Services – John Leslie</w:t>
      </w:r>
    </w:p>
    <w:p>
      <w:pPr>
        <w:pStyle w:val="Normal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Wild Goose Storage Inc. – Michael Day</w:t>
      </w:r>
    </w:p>
    <w:p>
      <w:pPr>
        <w:pStyle w:val="Normal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Watson Cogeneration Company- Tom Beach</w:t>
      </w:r>
    </w:p>
    <w:p>
      <w:pPr>
        <w:pStyle w:val="Normal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Calpine – Salle Yoo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2"/>
        </w:numPr>
        <w:rPr>
          <w:i/>
          <w:i/>
          <w:sz w:val="26"/>
        </w:rPr>
      </w:pPr>
      <w:r>
        <w:rPr>
          <w:b/>
          <w:i/>
          <w:sz w:val="26"/>
        </w:rPr>
        <w:t>Parties to the Interim Settlement</w:t>
      </w:r>
      <w:r>
        <w:rPr>
          <w:i/>
          <w:sz w:val="26"/>
        </w:rPr>
        <w:t>:</w:t>
      </w:r>
    </w:p>
    <w:p>
      <w:pPr>
        <w:pStyle w:val="Normal"/>
        <w:ind w:firstLine="360" w:end="0"/>
        <w:rPr>
          <w:sz w:val="26"/>
        </w:rPr>
      </w:pPr>
      <w:r>
        <w:rPr>
          <w:i/>
          <w:sz w:val="26"/>
        </w:rPr>
        <w:t>(5 minutes each – 15 minutes total)</w:t>
      </w:r>
    </w:p>
    <w:p>
      <w:pPr>
        <w:pStyle w:val="Normal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The Utility Reform Network – Marcel Hawiger</w:t>
      </w:r>
    </w:p>
    <w:p>
      <w:pPr>
        <w:pStyle w:val="Normal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Southern California Generation Coalition – Norman Pederson</w:t>
      </w:r>
    </w:p>
    <w:p>
      <w:pPr>
        <w:pStyle w:val="Normal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>Aglet Consumer Alliance – James Weil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2"/>
        </w:numPr>
        <w:rPr>
          <w:i/>
          <w:i/>
          <w:sz w:val="26"/>
        </w:rPr>
      </w:pPr>
      <w:r>
        <w:rPr>
          <w:b/>
          <w:i/>
          <w:sz w:val="26"/>
        </w:rPr>
        <w:t>Other Interested Parties</w:t>
      </w:r>
      <w:r>
        <w:rPr>
          <w:i/>
          <w:sz w:val="26"/>
        </w:rPr>
        <w:t xml:space="preserve">: </w:t>
      </w:r>
    </w:p>
    <w:p>
      <w:pPr>
        <w:pStyle w:val="Normal"/>
        <w:ind w:firstLine="360" w:end="0"/>
        <w:rPr>
          <w:i/>
          <w:i/>
          <w:sz w:val="26"/>
        </w:rPr>
      </w:pPr>
      <w:r>
        <w:rPr>
          <w:i/>
          <w:sz w:val="26"/>
        </w:rPr>
        <w:t>(5 minutes each – 10 minutes total)</w:t>
      </w:r>
    </w:p>
    <w:p>
      <w:pPr>
        <w:pStyle w:val="Normal"/>
        <w:numPr>
          <w:ilvl w:val="0"/>
          <w:numId w:val="6"/>
        </w:numPr>
        <w:jc w:val="both"/>
        <w:rPr>
          <w:sz w:val="26"/>
        </w:rPr>
      </w:pPr>
      <w:r>
        <w:rPr>
          <w:sz w:val="26"/>
        </w:rPr>
        <w:t>Transwestern Pipeline Company– Mark Baldwin</w:t>
      </w:r>
    </w:p>
    <w:p>
      <w:pPr>
        <w:pStyle w:val="Normal"/>
        <w:numPr>
          <w:ilvl w:val="0"/>
          <w:numId w:val="6"/>
        </w:numPr>
        <w:jc w:val="both"/>
        <w:rPr>
          <w:sz w:val="28"/>
        </w:rPr>
      </w:pPr>
      <w:r>
        <w:rPr>
          <w:sz w:val="26"/>
        </w:rPr>
        <w:t>PG&amp;E – Brian Cherry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2160" w:end="0"/>
      <w:outlineLvl w:val="1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2001-05-21T18:53:00Z</dcterms:created>
  <dc:creator>Executive</dc:creator>
  <dc:description/>
  <dc:language>en-CA</dc:language>
  <cp:lastModifiedBy>John S. Wong</cp:lastModifiedBy>
  <cp:lastPrinted>2001-05-21T14:15:00Z</cp:lastPrinted>
  <dcterms:modified xsi:type="dcterms:W3CDTF">2001-05-21T18:53:00Z</dcterms:modified>
  <cp:revision>2</cp:revision>
  <dc:subject/>
  <dc:title>Agenda</dc:title>
</cp:coreProperties>
</file>