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PROPOSED AGENDA</w:t>
      </w:r>
    </w:p>
    <w:p>
      <w:pPr>
        <w:pStyle w:val="Normal"/>
        <w:ind w:end="90"/>
        <w:jc w:val="center"/>
        <w:rPr>
          <w:b/>
          <w:sz w:val="28"/>
        </w:rPr>
      </w:pPr>
      <w:r>
        <w:rPr>
          <w:b/>
          <w:sz w:val="28"/>
        </w:rPr>
        <w:t>Greater Houston Partnership</w:t>
      </w:r>
    </w:p>
    <w:p>
      <w:pPr>
        <w:pStyle w:val="Heading2"/>
        <w:rPr>
          <w:sz w:val="28"/>
        </w:rPr>
      </w:pPr>
      <w:r>
        <w:rPr>
          <w:sz w:val="28"/>
        </w:rPr>
        <w:t>The Houston Club</w:t>
      </w:r>
    </w:p>
    <w:p>
      <w:pPr>
        <w:pStyle w:val="Normal"/>
        <w:ind w:end="90"/>
        <w:jc w:val="center"/>
        <w:rPr>
          <w:b/>
          <w:sz w:val="28"/>
        </w:rPr>
      </w:pPr>
      <w:r>
        <w:rPr>
          <w:b/>
          <w:sz w:val="24"/>
        </w:rPr>
        <w:t xml:space="preserve">811 Rusk The Texas Room </w:t>
      </w:r>
      <w:r>
        <w:rPr>
          <w:b/>
          <w:bCs/>
          <w:sz w:val="24"/>
        </w:rPr>
        <w:t>(</w:t>
      </w:r>
      <w:r>
        <w:rPr>
          <w:b/>
          <w:bCs/>
          <w:i/>
          <w:iCs/>
          <w:sz w:val="24"/>
        </w:rPr>
        <w:t>10</w:t>
      </w:r>
      <w:r>
        <w:rPr>
          <w:b/>
          <w:bCs/>
          <w:i/>
          <w:sz w:val="24"/>
          <w:vertAlign w:val="superscript"/>
        </w:rPr>
        <w:t>th</w:t>
      </w:r>
      <w:r>
        <w:rPr>
          <w:b/>
          <w:bCs/>
          <w:i/>
          <w:sz w:val="24"/>
        </w:rPr>
        <w:t xml:space="preserve"> Floor)</w:t>
      </w:r>
    </w:p>
    <w:p>
      <w:pPr>
        <w:pStyle w:val="Heading2"/>
        <w:rPr/>
      </w:pPr>
      <w:r>
        <w:rPr/>
        <w:t>Tuesday, December 5, 2000</w:t>
      </w:r>
    </w:p>
    <w:p>
      <w:pPr>
        <w:pStyle w:val="Normal"/>
        <w:rPr/>
      </w:pPr>
      <w:r>
        <w:rPr/>
      </w:r>
    </w:p>
    <w:p>
      <w:pPr>
        <w:pStyle w:val="Header"/>
        <w:tabs>
          <w:tab w:val="clear" w:pos="4320"/>
          <w:tab w:val="clear" w:pos="8640"/>
        </w:tabs>
        <w:rPr>
          <w:sz w:val="24"/>
        </w:rPr>
      </w:pPr>
      <w:r>
        <w:rPr>
          <w:sz w:val="24"/>
        </w:rPr>
      </w:r>
    </w:p>
    <w:p>
      <w:pPr>
        <w:pStyle w:val="Heading1"/>
        <w:tabs>
          <w:tab w:val="clear" w:pos="720"/>
          <w:tab w:val="left" w:pos="810" w:leader="none"/>
        </w:tabs>
        <w:spacing w:before="0" w:after="0"/>
        <w:ind w:hanging="0" w:start="0"/>
        <w:rPr>
          <w:rFonts w:ascii="Times New Roman" w:hAnsi="Times New Roman" w:cs="Times New Roman"/>
          <w:kern w:val="0"/>
        </w:rPr>
      </w:pPr>
      <w:r>
        <w:rPr>
          <w:rFonts w:cs="Times New Roman" w:ascii="Times New Roman" w:hAnsi="Times New Roman"/>
          <w:kern w:val="0"/>
          <w:sz w:val="24"/>
        </w:rPr>
        <w:t>CONSENT AGENDA</w:t>
      </w:r>
    </w:p>
    <w:p>
      <w:pPr>
        <w:pStyle w:val="Header"/>
        <w:tabs>
          <w:tab w:val="clear" w:pos="4320"/>
          <w:tab w:val="clear" w:pos="8640"/>
        </w:tabs>
        <w:rPr>
          <w:rFonts w:ascii="Times New Roman" w:hAnsi="Times New Roman" w:cs="Times New Roman"/>
          <w:kern w:val="0"/>
        </w:rPr>
      </w:pPr>
      <w:r>
        <w:rPr>
          <w:rFonts w:cs="Times New Roman"/>
          <w:kern w:val="0"/>
        </w:rPr>
      </w:r>
    </w:p>
    <w:p>
      <w:pPr>
        <w:pStyle w:val="Header"/>
        <w:tabs>
          <w:tab w:val="clear" w:pos="4320"/>
          <w:tab w:val="clear" w:pos="8640"/>
          <w:tab w:val="left" w:pos="90" w:leader="none"/>
          <w:tab w:val="right" w:pos="9720" w:leader="none"/>
        </w:tabs>
        <w:rPr/>
      </w:pPr>
      <w:r>
        <w:rPr>
          <w:sz w:val="24"/>
        </w:rPr>
        <w:tab/>
      </w:r>
      <w:r>
        <w:rPr>
          <w:rFonts w:eastAsia="Wingdings" w:cs="Wingdings" w:ascii="Wingdings" w:hAnsi="Wingdings"/>
          <w:sz w:val="28"/>
        </w:rPr>
        <w:sym w:font="Wingdings" w:char="f06e"/>
      </w:r>
      <w:r>
        <w:rPr>
          <w:sz w:val="28"/>
        </w:rPr>
        <w:t xml:space="preserve"> </w:t>
      </w:r>
      <w:r>
        <w:rPr>
          <w:b/>
          <w:bCs/>
          <w:sz w:val="24"/>
        </w:rPr>
        <w:t>Minutes from the November 7, 2000 Board Meeting</w:t>
      </w:r>
      <w:r>
        <w:rPr>
          <w:b/>
          <w:bCs/>
        </w:rPr>
        <w:tab/>
      </w:r>
      <w:r>
        <w:rPr>
          <w:b/>
          <w:bCs/>
          <w:sz w:val="24"/>
        </w:rPr>
        <w:t>TAB 1</w:t>
      </w:r>
    </w:p>
    <w:p>
      <w:pPr>
        <w:pStyle w:val="Header"/>
        <w:tabs>
          <w:tab w:val="clear" w:pos="4320"/>
          <w:tab w:val="clear" w:pos="8640"/>
          <w:tab w:val="left" w:pos="720" w:leader="none"/>
          <w:tab w:val="right" w:pos="9720" w:leader="none"/>
        </w:tabs>
        <w:rPr>
          <w:b/>
          <w:bCs/>
          <w:sz w:val="24"/>
        </w:rPr>
      </w:pPr>
      <w:r>
        <w:rPr>
          <w:b/>
          <w:bCs/>
          <w:sz w:val="24"/>
        </w:rPr>
      </w:r>
    </w:p>
    <w:p>
      <w:pPr>
        <w:pStyle w:val="Header"/>
        <w:tabs>
          <w:tab w:val="clear" w:pos="4320"/>
          <w:tab w:val="clear" w:pos="8640"/>
          <w:tab w:val="left" w:pos="720" w:leader="none"/>
          <w:tab w:val="right" w:pos="9720" w:leader="none"/>
        </w:tabs>
        <w:rPr>
          <w:b/>
          <w:sz w:val="24"/>
        </w:rPr>
      </w:pPr>
      <w:r>
        <w:rPr>
          <w:b/>
          <w:sz w:val="24"/>
        </w:rPr>
      </w:r>
    </w:p>
    <w:p>
      <w:pPr>
        <w:pStyle w:val="Header"/>
        <w:tabs>
          <w:tab w:val="clear" w:pos="4320"/>
          <w:tab w:val="clear" w:pos="8640"/>
          <w:tab w:val="left" w:pos="720" w:leader="none"/>
          <w:tab w:val="right" w:pos="9720" w:leader="none"/>
        </w:tabs>
        <w:rPr>
          <w:b/>
          <w:sz w:val="24"/>
        </w:rPr>
      </w:pPr>
      <w:r>
        <w:rPr>
          <w:b/>
          <w:sz w:val="24"/>
        </w:rPr>
        <w:t>ACTION AGENDA</w:t>
      </w:r>
    </w:p>
    <w:p>
      <w:pPr>
        <w:pStyle w:val="Header"/>
        <w:tabs>
          <w:tab w:val="clear" w:pos="4320"/>
          <w:tab w:val="clear" w:pos="8640"/>
          <w:tab w:val="left" w:pos="720" w:leader="none"/>
          <w:tab w:val="right" w:pos="9720" w:leader="none"/>
        </w:tabs>
        <w:rPr>
          <w:b/>
          <w:sz w:val="28"/>
        </w:rPr>
      </w:pPr>
      <w:r>
        <w:rPr>
          <w:b/>
          <w:sz w:val="28"/>
        </w:rPr>
      </w:r>
    </w:p>
    <w:p>
      <w:pPr>
        <w:pStyle w:val="Header"/>
        <w:tabs>
          <w:tab w:val="clear" w:pos="4320"/>
          <w:tab w:val="clear" w:pos="8640"/>
          <w:tab w:val="left" w:pos="720" w:leader="none"/>
          <w:tab w:val="right" w:pos="9720" w:leader="none"/>
        </w:tabs>
        <w:rPr>
          <w:b/>
          <w:sz w:val="28"/>
        </w:rPr>
      </w:pPr>
      <w:r>
        <w:rPr>
          <w:rFonts w:eastAsia="Wingdings" w:cs="Wingdings" w:ascii="Wingdings" w:hAnsi="Wingdings"/>
          <w:b/>
          <w:sz w:val="28"/>
        </w:rPr>
        <w:sym w:font="Wingdings" w:char="f06e"/>
      </w:r>
      <w:r>
        <w:rPr>
          <w:b/>
          <w:sz w:val="28"/>
        </w:rPr>
        <w:t xml:space="preserve"> </w:t>
      </w:r>
      <w:r>
        <w:rPr>
          <w:b/>
          <w:sz w:val="24"/>
        </w:rPr>
        <w:t>Partnership’s 2001 Plan and Budget - Bruce LaBoon</w:t>
      </w:r>
      <w:r>
        <w:rPr>
          <w:sz w:val="24"/>
        </w:rPr>
        <w:tab/>
      </w:r>
      <w:r>
        <w:rPr>
          <w:b/>
          <w:bCs/>
          <w:sz w:val="24"/>
        </w:rPr>
        <w:t xml:space="preserve">TAB </w:t>
      </w:r>
      <w:r>
        <w:rPr>
          <w:b/>
          <w:sz w:val="24"/>
        </w:rPr>
        <w:t>2</w:t>
      </w:r>
    </w:p>
    <w:p>
      <w:pPr>
        <w:pStyle w:val="Header"/>
        <w:numPr>
          <w:ilvl w:val="0"/>
          <w:numId w:val="4"/>
        </w:numPr>
        <w:tabs>
          <w:tab w:val="clear" w:pos="4320"/>
          <w:tab w:val="clear" w:pos="8640"/>
          <w:tab w:val="left" w:pos="810" w:leader="none"/>
          <w:tab w:val="right" w:pos="9720" w:leader="none"/>
        </w:tabs>
        <w:rPr>
          <w:bCs/>
          <w:sz w:val="24"/>
        </w:rPr>
      </w:pPr>
      <w:r>
        <w:rPr>
          <w:bCs/>
          <w:i/>
          <w:iCs/>
          <w:sz w:val="24"/>
        </w:rPr>
        <w:t>Consideration of resolution authorizing change in Partnership</w:t>
      </w:r>
      <w:r>
        <w:rPr>
          <w:bCs/>
          <w:sz w:val="24"/>
        </w:rPr>
        <w:tab/>
      </w:r>
      <w:r>
        <w:rPr>
          <w:b/>
          <w:sz w:val="24"/>
        </w:rPr>
        <w:t>TAB 3</w:t>
      </w:r>
    </w:p>
    <w:p>
      <w:pPr>
        <w:pStyle w:val="Header"/>
        <w:tabs>
          <w:tab w:val="clear" w:pos="4320"/>
          <w:tab w:val="clear" w:pos="8640"/>
          <w:tab w:val="left" w:pos="1080" w:leader="none"/>
          <w:tab w:val="right" w:pos="9720" w:leader="none"/>
        </w:tabs>
        <w:ind w:start="360" w:end="0"/>
        <w:rPr/>
      </w:pPr>
      <w:r>
        <w:rPr>
          <w:bCs/>
          <w:sz w:val="24"/>
        </w:rPr>
        <w:t xml:space="preserve">       </w:t>
      </w:r>
      <w:r>
        <w:rPr>
          <w:bCs/>
          <w:sz w:val="24"/>
        </w:rPr>
        <w:tab/>
      </w:r>
      <w:r>
        <w:rPr>
          <w:bCs/>
          <w:i/>
          <w:iCs/>
          <w:sz w:val="24"/>
        </w:rPr>
        <w:t>retiree’s benefits</w:t>
      </w:r>
    </w:p>
    <w:p>
      <w:pPr>
        <w:pStyle w:val="Header"/>
        <w:tabs>
          <w:tab w:val="clear" w:pos="4320"/>
          <w:tab w:val="clear" w:pos="8640"/>
          <w:tab w:val="left" w:pos="720" w:leader="none"/>
          <w:tab w:val="right" w:pos="9720" w:leader="none"/>
        </w:tabs>
        <w:ind w:start="360" w:end="0"/>
        <w:rPr>
          <w:bCs/>
          <w:i/>
          <w:i/>
          <w:iCs/>
          <w:sz w:val="24"/>
        </w:rPr>
      </w:pPr>
      <w:r>
        <w:rPr>
          <w:bCs/>
          <w:i/>
          <w:iCs/>
          <w:sz w:val="24"/>
        </w:rPr>
      </w:r>
    </w:p>
    <w:p>
      <w:pPr>
        <w:pStyle w:val="Header"/>
        <w:tabs>
          <w:tab w:val="clear" w:pos="4320"/>
          <w:tab w:val="clear" w:pos="8640"/>
          <w:tab w:val="left" w:pos="90" w:leader="none"/>
          <w:tab w:val="left" w:pos="810" w:leader="none"/>
          <w:tab w:val="right" w:pos="9720" w:leader="none"/>
        </w:tabs>
        <w:ind w:end="72"/>
        <w:rPr>
          <w:sz w:val="24"/>
        </w:rPr>
      </w:pPr>
      <w:r>
        <w:rPr>
          <w:rFonts w:eastAsia="Wingdings" w:cs="Wingdings" w:ascii="Wingdings" w:hAnsi="Wingdings"/>
          <w:sz w:val="28"/>
        </w:rPr>
        <w:sym w:font="Wingdings" w:char="f06e"/>
      </w:r>
      <w:r>
        <w:rPr>
          <w:sz w:val="28"/>
        </w:rPr>
        <w:t xml:space="preserve"> </w:t>
      </w:r>
      <w:r>
        <w:rPr>
          <w:b/>
          <w:sz w:val="24"/>
        </w:rPr>
        <w:t>Nominating Committee – Ned Holmes</w:t>
        <w:tab/>
      </w:r>
      <w:r>
        <w:rPr>
          <w:bCs/>
          <w:i/>
          <w:iCs/>
          <w:sz w:val="24"/>
        </w:rPr>
        <w:t>(distributed at meeting)</w:t>
      </w:r>
    </w:p>
    <w:p>
      <w:pPr>
        <w:pStyle w:val="Header"/>
        <w:numPr>
          <w:ilvl w:val="0"/>
          <w:numId w:val="6"/>
        </w:numPr>
        <w:tabs>
          <w:tab w:val="clear" w:pos="4320"/>
          <w:tab w:val="clear" w:pos="8640"/>
          <w:tab w:val="left" w:pos="720" w:leader="none"/>
          <w:tab w:val="left" w:pos="990" w:leader="none"/>
          <w:tab w:val="right" w:pos="9720" w:leader="none"/>
        </w:tabs>
        <w:ind w:hanging="360" w:start="1080" w:end="0"/>
        <w:rPr>
          <w:i/>
          <w:i/>
          <w:iCs/>
          <w:sz w:val="24"/>
        </w:rPr>
      </w:pPr>
      <w:r>
        <w:rPr>
          <w:i/>
          <w:iCs/>
          <w:sz w:val="24"/>
        </w:rPr>
        <w:t>Approval of directors to fill unexpired terms</w:t>
      </w:r>
    </w:p>
    <w:p>
      <w:pPr>
        <w:pStyle w:val="Header"/>
        <w:numPr>
          <w:ilvl w:val="0"/>
          <w:numId w:val="6"/>
        </w:numPr>
        <w:tabs>
          <w:tab w:val="clear" w:pos="4320"/>
          <w:tab w:val="clear" w:pos="8640"/>
          <w:tab w:val="left" w:pos="720" w:leader="none"/>
          <w:tab w:val="left" w:pos="990" w:leader="none"/>
          <w:tab w:val="right" w:pos="9720" w:leader="none"/>
        </w:tabs>
        <w:ind w:hanging="360" w:start="1080" w:end="0"/>
        <w:rPr>
          <w:i/>
          <w:i/>
          <w:iCs/>
          <w:sz w:val="24"/>
        </w:rPr>
      </w:pPr>
      <w:r>
        <w:rPr>
          <w:i/>
          <w:iCs/>
          <w:sz w:val="24"/>
        </w:rPr>
        <w:t>Approval of annual slate of directors for consideration at annual meeting</w:t>
      </w:r>
    </w:p>
    <w:p>
      <w:pPr>
        <w:pStyle w:val="Header"/>
        <w:numPr>
          <w:ilvl w:val="0"/>
          <w:numId w:val="6"/>
        </w:numPr>
        <w:tabs>
          <w:tab w:val="clear" w:pos="4320"/>
          <w:tab w:val="clear" w:pos="8640"/>
          <w:tab w:val="left" w:pos="720" w:leader="none"/>
          <w:tab w:val="left" w:pos="990" w:leader="none"/>
          <w:tab w:val="right" w:pos="9720" w:leader="none"/>
        </w:tabs>
        <w:ind w:hanging="360" w:start="1080" w:end="0"/>
        <w:rPr>
          <w:i/>
          <w:i/>
          <w:iCs/>
          <w:sz w:val="24"/>
        </w:rPr>
      </w:pPr>
      <w:r>
        <w:rPr>
          <w:i/>
          <w:iCs/>
          <w:sz w:val="24"/>
        </w:rPr>
        <w:t>Approval of vice chair</w:t>
      </w:r>
    </w:p>
    <w:p>
      <w:pPr>
        <w:pStyle w:val="Header"/>
        <w:numPr>
          <w:ilvl w:val="0"/>
          <w:numId w:val="6"/>
        </w:numPr>
        <w:tabs>
          <w:tab w:val="clear" w:pos="4320"/>
          <w:tab w:val="clear" w:pos="8640"/>
          <w:tab w:val="left" w:pos="720" w:leader="none"/>
          <w:tab w:val="left" w:pos="990" w:leader="none"/>
          <w:tab w:val="right" w:pos="9720" w:leader="none"/>
        </w:tabs>
        <w:ind w:hanging="360" w:start="1080" w:end="0"/>
        <w:rPr>
          <w:i/>
          <w:i/>
          <w:iCs/>
          <w:sz w:val="24"/>
        </w:rPr>
      </w:pPr>
      <w:r>
        <w:rPr>
          <w:i/>
          <w:iCs/>
          <w:sz w:val="24"/>
        </w:rPr>
        <w:t>Approval of president and CEO</w:t>
      </w:r>
    </w:p>
    <w:p>
      <w:pPr>
        <w:pStyle w:val="Header"/>
        <w:tabs>
          <w:tab w:val="clear" w:pos="4320"/>
          <w:tab w:val="clear" w:pos="8640"/>
          <w:tab w:val="left" w:pos="720" w:leader="none"/>
          <w:tab w:val="right" w:pos="9720" w:leader="none"/>
        </w:tabs>
        <w:rPr>
          <w:i/>
          <w:i/>
          <w:iCs/>
          <w:sz w:val="24"/>
        </w:rPr>
      </w:pPr>
      <w:r>
        <w:rPr>
          <w:i/>
          <w:iCs/>
          <w:sz w:val="24"/>
        </w:rPr>
      </w:r>
    </w:p>
    <w:p>
      <w:pPr>
        <w:pStyle w:val="Header"/>
        <w:tabs>
          <w:tab w:val="clear" w:pos="4320"/>
          <w:tab w:val="clear" w:pos="8640"/>
          <w:tab w:val="left" w:pos="720" w:leader="none"/>
          <w:tab w:val="right" w:pos="9720" w:leader="none"/>
        </w:tabs>
        <w:rPr/>
      </w:pPr>
      <w:r>
        <w:rPr>
          <w:rFonts w:eastAsia="Wingdings" w:cs="Wingdings" w:ascii="Wingdings" w:hAnsi="Wingdings"/>
          <w:b/>
          <w:sz w:val="28"/>
        </w:rPr>
        <w:sym w:font="Wingdings" w:char="f06e"/>
      </w:r>
      <w:r>
        <w:rPr>
          <w:b/>
          <w:sz w:val="28"/>
        </w:rPr>
        <w:t xml:space="preserve"> </w:t>
      </w:r>
      <w:r>
        <w:rPr>
          <w:b/>
          <w:sz w:val="24"/>
        </w:rPr>
        <w:t xml:space="preserve">Consideration of Resolution in Support of Increased Funding </w:t>
        <w:tab/>
        <w:t>TAB 4</w:t>
      </w:r>
    </w:p>
    <w:p>
      <w:pPr>
        <w:pStyle w:val="Header"/>
        <w:tabs>
          <w:tab w:val="clear" w:pos="4320"/>
          <w:tab w:val="clear" w:pos="8640"/>
          <w:tab w:val="left" w:pos="360" w:leader="none"/>
          <w:tab w:val="right" w:pos="9720" w:leader="none"/>
        </w:tabs>
        <w:rPr>
          <w:b/>
          <w:sz w:val="28"/>
        </w:rPr>
      </w:pPr>
      <w:r>
        <w:rPr>
          <w:b/>
          <w:sz w:val="24"/>
        </w:rPr>
        <w:tab/>
        <w:t xml:space="preserve">for Higher Education </w:t>
      </w:r>
    </w:p>
    <w:p>
      <w:pPr>
        <w:pStyle w:val="Header"/>
        <w:tabs>
          <w:tab w:val="left" w:pos="720" w:leader="none"/>
          <w:tab w:val="center" w:pos="4320" w:leader="none"/>
          <w:tab w:val="right" w:pos="8640" w:leader="none"/>
          <w:tab w:val="right" w:pos="9720" w:leader="none"/>
        </w:tabs>
        <w:rPr>
          <w:b/>
          <w:bCs/>
          <w:sz w:val="24"/>
        </w:rPr>
      </w:pPr>
      <w:r>
        <w:rPr>
          <w:b/>
          <w:bCs/>
          <w:sz w:val="24"/>
        </w:rPr>
      </w:r>
    </w:p>
    <w:p>
      <w:pPr>
        <w:pStyle w:val="Header"/>
        <w:tabs>
          <w:tab w:val="clear" w:pos="4320"/>
          <w:tab w:val="clear" w:pos="8640"/>
          <w:tab w:val="left" w:pos="720" w:leader="none"/>
          <w:tab w:val="right" w:pos="9720" w:leader="none"/>
        </w:tabs>
        <w:rPr>
          <w:b/>
          <w:bCs/>
          <w:sz w:val="24"/>
        </w:rPr>
      </w:pPr>
      <w:r>
        <w:rPr>
          <w:b/>
          <w:bCs/>
          <w:sz w:val="24"/>
        </w:rPr>
      </w:r>
    </w:p>
    <w:p>
      <w:pPr>
        <w:pStyle w:val="Header"/>
        <w:tabs>
          <w:tab w:val="left" w:pos="720" w:leader="none"/>
          <w:tab w:val="center" w:pos="4320" w:leader="none"/>
          <w:tab w:val="right" w:pos="8640" w:leader="none"/>
          <w:tab w:val="right" w:pos="9720" w:leader="none"/>
        </w:tabs>
        <w:rPr>
          <w:bCs/>
          <w:sz w:val="24"/>
        </w:rPr>
      </w:pPr>
      <w:r>
        <w:rPr>
          <w:rFonts w:eastAsia="Wingdings" w:cs="Wingdings" w:ascii="Wingdings" w:hAnsi="Wingdings"/>
          <w:b/>
          <w:sz w:val="28"/>
        </w:rPr>
        <w:sym w:font="Wingdings" w:char="f06e"/>
      </w:r>
      <w:r>
        <w:rPr>
          <w:b/>
          <w:sz w:val="28"/>
        </w:rPr>
        <w:t xml:space="preserve"> </w:t>
      </w:r>
      <w:r>
        <w:rPr>
          <w:b/>
          <w:sz w:val="24"/>
        </w:rPr>
        <w:t xml:space="preserve">State Legislative Agenda Items </w:t>
        <w:tab/>
        <w:tab/>
        <w:tab/>
        <w:t>TAB 5</w:t>
      </w:r>
    </w:p>
    <w:p>
      <w:pPr>
        <w:pStyle w:val="Header"/>
        <w:numPr>
          <w:ilvl w:val="0"/>
          <w:numId w:val="3"/>
        </w:numPr>
        <w:tabs>
          <w:tab w:val="clear" w:pos="8640"/>
          <w:tab w:val="left" w:pos="1080" w:leader="none"/>
          <w:tab w:val="center" w:pos="4320" w:leader="none"/>
          <w:tab w:val="right" w:pos="9720" w:leader="none"/>
        </w:tabs>
        <w:ind w:hanging="360" w:start="1080" w:end="0"/>
        <w:rPr>
          <w:b/>
          <w:bCs/>
          <w:sz w:val="24"/>
        </w:rPr>
      </w:pPr>
      <w:r>
        <w:rPr>
          <w:bCs/>
          <w:i/>
          <w:iCs/>
          <w:sz w:val="24"/>
        </w:rPr>
        <w:t>Tax incentives for large projects-Charles Foster</w:t>
      </w:r>
    </w:p>
    <w:p>
      <w:pPr>
        <w:pStyle w:val="Header"/>
        <w:numPr>
          <w:ilvl w:val="0"/>
          <w:numId w:val="3"/>
        </w:numPr>
        <w:tabs>
          <w:tab w:val="clear" w:pos="8640"/>
          <w:tab w:val="left" w:pos="1080" w:leader="none"/>
          <w:tab w:val="center" w:pos="4320" w:leader="none"/>
          <w:tab w:val="right" w:pos="9720" w:leader="none"/>
        </w:tabs>
        <w:ind w:hanging="360" w:start="1080" w:end="0"/>
        <w:rPr>
          <w:b/>
          <w:sz w:val="24"/>
        </w:rPr>
      </w:pPr>
      <w:r>
        <w:rPr>
          <w:i/>
          <w:iCs/>
          <w:sz w:val="24"/>
        </w:rPr>
        <w:t>Supporting implementation of 2-1-1- Charles McMahen</w:t>
      </w:r>
    </w:p>
    <w:p>
      <w:pPr>
        <w:pStyle w:val="Header"/>
        <w:numPr>
          <w:ilvl w:val="0"/>
          <w:numId w:val="3"/>
        </w:numPr>
        <w:tabs>
          <w:tab w:val="clear" w:pos="8640"/>
          <w:tab w:val="left" w:pos="1080" w:leader="none"/>
          <w:tab w:val="center" w:pos="4320" w:leader="none"/>
          <w:tab w:val="right" w:pos="9720" w:leader="none"/>
        </w:tabs>
        <w:ind w:hanging="360" w:start="1080" w:end="0"/>
        <w:rPr>
          <w:b/>
          <w:sz w:val="24"/>
        </w:rPr>
      </w:pPr>
      <w:r>
        <w:rPr>
          <w:i/>
          <w:iCs/>
          <w:sz w:val="24"/>
        </w:rPr>
        <w:t>Amending the Clean Air Legislative Agenda for the 77</w:t>
      </w:r>
      <w:r>
        <w:rPr>
          <w:i/>
          <w:iCs/>
          <w:sz w:val="24"/>
          <w:vertAlign w:val="superscript"/>
        </w:rPr>
        <w:t>th</w:t>
      </w:r>
      <w:r>
        <w:rPr>
          <w:i/>
          <w:iCs/>
          <w:sz w:val="24"/>
        </w:rPr>
        <w:t xml:space="preserve"> Legislature</w:t>
      </w:r>
    </w:p>
    <w:p>
      <w:pPr>
        <w:pStyle w:val="Header"/>
        <w:tabs>
          <w:tab w:val="clear" w:pos="8640"/>
          <w:tab w:val="center" w:pos="4320" w:leader="none"/>
          <w:tab w:val="right" w:pos="9720" w:leader="none"/>
        </w:tabs>
        <w:rPr>
          <w:b/>
          <w:sz w:val="28"/>
        </w:rPr>
      </w:pPr>
      <w:r>
        <w:rPr>
          <w:b/>
          <w:sz w:val="28"/>
        </w:rPr>
      </w:r>
    </w:p>
    <w:p>
      <w:pPr>
        <w:pStyle w:val="Header"/>
        <w:tabs>
          <w:tab w:val="clear" w:pos="4320"/>
          <w:tab w:val="clear" w:pos="8640"/>
          <w:tab w:val="left" w:pos="720" w:leader="none"/>
          <w:tab w:val="right" w:pos="9720" w:leader="none"/>
        </w:tabs>
        <w:rPr>
          <w:b/>
          <w:sz w:val="28"/>
        </w:rPr>
      </w:pPr>
      <w:r>
        <w:rPr>
          <w:b/>
          <w:sz w:val="28"/>
        </w:rPr>
        <w:t>DISCUSSION AGENDA</w:t>
      </w:r>
    </w:p>
    <w:p>
      <w:pPr>
        <w:pStyle w:val="Header"/>
        <w:tabs>
          <w:tab w:val="clear" w:pos="4320"/>
          <w:tab w:val="clear" w:pos="8640"/>
          <w:tab w:val="left" w:pos="720" w:leader="none"/>
          <w:tab w:val="right" w:pos="9720" w:leader="none"/>
        </w:tabs>
        <w:rPr>
          <w:b/>
          <w:sz w:val="24"/>
        </w:rPr>
      </w:pPr>
      <w:r>
        <w:rPr>
          <w:b/>
          <w:sz w:val="24"/>
        </w:rPr>
      </w:r>
    </w:p>
    <w:p>
      <w:pPr>
        <w:pStyle w:val="Header"/>
        <w:tabs>
          <w:tab w:val="clear" w:pos="4320"/>
          <w:tab w:val="clear" w:pos="8640"/>
          <w:tab w:val="left" w:pos="360" w:leader="none"/>
          <w:tab w:val="center" w:pos="450" w:leader="none"/>
          <w:tab w:val="left" w:pos="720" w:leader="none"/>
          <w:tab w:val="right" w:pos="9720" w:leader="none"/>
        </w:tabs>
        <w:rPr/>
      </w:pPr>
      <w:r>
        <w:rPr>
          <w:sz w:val="28"/>
        </w:rPr>
        <w:tab/>
      </w:r>
      <w:r>
        <w:rPr>
          <w:rFonts w:eastAsia="Wingdings" w:cs="Wingdings" w:ascii="Wingdings" w:hAnsi="Wingdings"/>
          <w:sz w:val="28"/>
        </w:rPr>
        <w:sym w:font="Wingdings" w:char="f06e"/>
      </w:r>
      <w:r>
        <w:rPr>
          <w:sz w:val="28"/>
        </w:rPr>
        <w:t xml:space="preserve"> </w:t>
      </w:r>
      <w:r>
        <w:rPr>
          <w:b/>
          <w:sz w:val="24"/>
        </w:rPr>
        <w:t>Chairman’s Report – Jim Royer</w:t>
      </w:r>
    </w:p>
    <w:p>
      <w:pPr>
        <w:pStyle w:val="Header"/>
        <w:numPr>
          <w:ilvl w:val="0"/>
          <w:numId w:val="6"/>
        </w:numPr>
        <w:tabs>
          <w:tab w:val="clear" w:pos="4320"/>
          <w:tab w:val="clear" w:pos="8640"/>
          <w:tab w:val="left" w:pos="720" w:leader="none"/>
          <w:tab w:val="left" w:pos="990" w:leader="none"/>
          <w:tab w:val="right" w:pos="9720" w:leader="none"/>
        </w:tabs>
        <w:ind w:hanging="360" w:start="1080" w:end="0"/>
        <w:rPr>
          <w:sz w:val="24"/>
        </w:rPr>
      </w:pPr>
      <w:r>
        <w:rPr>
          <w:i/>
          <w:sz w:val="24"/>
        </w:rPr>
        <w:t>Year-end wrap-up</w:t>
      </w:r>
    </w:p>
    <w:p>
      <w:pPr>
        <w:pStyle w:val="Header"/>
        <w:numPr>
          <w:ilvl w:val="0"/>
          <w:numId w:val="6"/>
        </w:numPr>
        <w:tabs>
          <w:tab w:val="clear" w:pos="4320"/>
          <w:tab w:val="clear" w:pos="8640"/>
          <w:tab w:val="left" w:pos="720" w:leader="none"/>
          <w:tab w:val="left" w:pos="990" w:leader="none"/>
          <w:tab w:val="right" w:pos="9720" w:leader="none"/>
        </w:tabs>
        <w:ind w:hanging="360" w:start="1080" w:end="0"/>
        <w:rPr>
          <w:sz w:val="24"/>
        </w:rPr>
      </w:pPr>
      <w:r>
        <w:rPr>
          <w:i/>
          <w:sz w:val="24"/>
        </w:rPr>
        <w:t>Recognition of committee chairs</w:t>
      </w:r>
    </w:p>
    <w:p>
      <w:pPr>
        <w:pStyle w:val="Header"/>
        <w:tabs>
          <w:tab w:val="clear" w:pos="4320"/>
          <w:tab w:val="clear" w:pos="8640"/>
          <w:tab w:val="left" w:pos="720" w:leader="none"/>
          <w:tab w:val="right" w:pos="9720" w:leader="none"/>
        </w:tabs>
        <w:rPr>
          <w:sz w:val="24"/>
        </w:rPr>
      </w:pPr>
      <w:r>
        <w:rPr>
          <w:sz w:val="24"/>
        </w:rPr>
      </w:r>
    </w:p>
    <w:p>
      <w:pPr>
        <w:pStyle w:val="Header"/>
        <w:tabs>
          <w:tab w:val="clear" w:pos="4320"/>
          <w:tab w:val="clear" w:pos="8640"/>
          <w:tab w:val="left" w:pos="720" w:leader="none"/>
          <w:tab w:val="right" w:pos="9720" w:leader="none"/>
        </w:tabs>
        <w:rPr>
          <w:sz w:val="24"/>
        </w:rPr>
      </w:pPr>
      <w:r>
        <w:rPr>
          <w:sz w:val="24"/>
        </w:rPr>
      </w:r>
    </w:p>
    <w:p>
      <w:pPr>
        <w:pStyle w:val="Header"/>
        <w:tabs>
          <w:tab w:val="clear" w:pos="4320"/>
          <w:tab w:val="clear" w:pos="8640"/>
          <w:tab w:val="left" w:pos="360" w:leader="none"/>
          <w:tab w:val="center" w:pos="450" w:leader="none"/>
          <w:tab w:val="left" w:pos="720" w:leader="none"/>
          <w:tab w:val="right" w:pos="9720" w:leader="none"/>
        </w:tabs>
        <w:rPr/>
      </w:pPr>
      <w:r>
        <w:rPr>
          <w:sz w:val="28"/>
        </w:rPr>
        <w:tab/>
      </w:r>
      <w:r>
        <w:rPr>
          <w:rFonts w:eastAsia="Wingdings" w:cs="Wingdings" w:ascii="Wingdings" w:hAnsi="Wingdings"/>
          <w:sz w:val="28"/>
        </w:rPr>
        <w:sym w:font="Wingdings" w:char="f06e"/>
      </w:r>
      <w:r>
        <w:rPr>
          <w:sz w:val="28"/>
        </w:rPr>
        <w:t xml:space="preserve"> </w:t>
      </w:r>
      <w:r>
        <w:rPr>
          <w:b/>
          <w:sz w:val="24"/>
        </w:rPr>
        <w:t>President’s Report – Jim Kollaer</w:t>
      </w:r>
    </w:p>
    <w:p>
      <w:pPr>
        <w:pStyle w:val="Header"/>
        <w:numPr>
          <w:ilvl w:val="0"/>
          <w:numId w:val="6"/>
        </w:numPr>
        <w:tabs>
          <w:tab w:val="clear" w:pos="4320"/>
          <w:tab w:val="clear" w:pos="8640"/>
          <w:tab w:val="left" w:pos="720" w:leader="none"/>
          <w:tab w:val="left" w:pos="990" w:leader="none"/>
          <w:tab w:val="right" w:pos="9720" w:leader="none"/>
        </w:tabs>
        <w:ind w:hanging="360" w:start="1080" w:end="0"/>
        <w:rPr>
          <w:sz w:val="24"/>
        </w:rPr>
      </w:pPr>
      <w:r>
        <w:rPr>
          <w:i/>
          <w:sz w:val="24"/>
        </w:rPr>
        <w:t>Year-end reports of all programs</w:t>
      </w:r>
    </w:p>
    <w:p>
      <w:pPr>
        <w:pStyle w:val="Header"/>
        <w:numPr>
          <w:ilvl w:val="0"/>
          <w:numId w:val="6"/>
        </w:numPr>
        <w:tabs>
          <w:tab w:val="clear" w:pos="4320"/>
          <w:tab w:val="clear" w:pos="8640"/>
          <w:tab w:val="left" w:pos="720" w:leader="none"/>
          <w:tab w:val="left" w:pos="990" w:leader="none"/>
          <w:tab w:val="right" w:pos="9720" w:leader="none"/>
        </w:tabs>
        <w:ind w:hanging="360" w:start="1080" w:end="0"/>
        <w:rPr>
          <w:sz w:val="24"/>
        </w:rPr>
      </w:pPr>
      <w:r>
        <w:rPr>
          <w:i/>
          <w:sz w:val="24"/>
        </w:rPr>
        <w:t>Year-end financial projection</w:t>
      </w:r>
    </w:p>
    <w:p>
      <w:pPr>
        <w:pStyle w:val="Header"/>
        <w:numPr>
          <w:ilvl w:val="0"/>
          <w:numId w:val="6"/>
        </w:numPr>
        <w:tabs>
          <w:tab w:val="clear" w:pos="4320"/>
          <w:tab w:val="clear" w:pos="8640"/>
          <w:tab w:val="left" w:pos="720" w:leader="none"/>
          <w:tab w:val="left" w:pos="990" w:leader="none"/>
          <w:tab w:val="right" w:pos="9720" w:leader="none"/>
        </w:tabs>
        <w:ind w:hanging="360" w:start="1080" w:end="0"/>
        <w:rPr>
          <w:sz w:val="24"/>
        </w:rPr>
      </w:pPr>
      <w:r>
        <w:rPr>
          <w:i/>
          <w:sz w:val="24"/>
        </w:rPr>
        <w:t>City of Houston contract</w:t>
      </w:r>
    </w:p>
    <w:p>
      <w:pPr>
        <w:pStyle w:val="Header"/>
        <w:tabs>
          <w:tab w:val="clear" w:pos="4320"/>
          <w:tab w:val="clear" w:pos="8640"/>
          <w:tab w:val="left" w:pos="720" w:leader="none"/>
          <w:tab w:val="right" w:pos="9720" w:leader="none"/>
        </w:tabs>
        <w:rPr>
          <w:i/>
          <w:i/>
          <w:sz w:val="24"/>
        </w:rPr>
      </w:pPr>
      <w:r>
        <w:rPr>
          <w:i/>
          <w:sz w:val="24"/>
        </w:rPr>
      </w:r>
    </w:p>
    <w:p>
      <w:pPr>
        <w:pStyle w:val="Header"/>
        <w:tabs>
          <w:tab w:val="clear" w:pos="4320"/>
          <w:tab w:val="clear" w:pos="8640"/>
          <w:tab w:val="left" w:pos="360" w:leader="none"/>
          <w:tab w:val="center" w:pos="450" w:leader="none"/>
          <w:tab w:val="left" w:pos="720" w:leader="none"/>
          <w:tab w:val="right" w:pos="9720" w:leader="none"/>
        </w:tabs>
        <w:rPr/>
      </w:pPr>
      <w:r>
        <w:rPr>
          <w:sz w:val="28"/>
        </w:rPr>
        <w:tab/>
      </w:r>
      <w:r>
        <w:rPr>
          <w:rFonts w:eastAsia="Wingdings" w:cs="Wingdings" w:ascii="Wingdings" w:hAnsi="Wingdings"/>
          <w:sz w:val="28"/>
        </w:rPr>
        <w:sym w:font="Wingdings" w:char="f06e"/>
      </w:r>
      <w:r>
        <w:rPr>
          <w:sz w:val="28"/>
        </w:rPr>
        <w:t xml:space="preserve"> </w:t>
      </w:r>
      <w:r>
        <w:rPr>
          <w:b/>
          <w:sz w:val="24"/>
        </w:rPr>
        <w:t>Investor Development – Bob Zincke</w:t>
        <w:tab/>
      </w:r>
    </w:p>
    <w:p>
      <w:pPr>
        <w:pStyle w:val="Header"/>
        <w:numPr>
          <w:ilvl w:val="0"/>
          <w:numId w:val="6"/>
        </w:numPr>
        <w:tabs>
          <w:tab w:val="clear" w:pos="4320"/>
          <w:tab w:val="clear" w:pos="8640"/>
          <w:tab w:val="left" w:pos="720" w:leader="none"/>
          <w:tab w:val="left" w:pos="990" w:leader="none"/>
          <w:tab w:val="right" w:pos="9720" w:leader="none"/>
        </w:tabs>
        <w:ind w:hanging="360" w:start="1080" w:end="0"/>
        <w:rPr>
          <w:sz w:val="24"/>
        </w:rPr>
      </w:pPr>
      <w:r>
        <w:rPr>
          <w:i/>
          <w:sz w:val="24"/>
        </w:rPr>
        <w:t>Campaign update</w:t>
      </w:r>
    </w:p>
    <w:p>
      <w:pPr>
        <w:pStyle w:val="Header"/>
        <w:tabs>
          <w:tab w:val="clear" w:pos="4320"/>
          <w:tab w:val="clear" w:pos="8640"/>
          <w:tab w:val="left" w:pos="720" w:leader="none"/>
          <w:tab w:val="right" w:pos="9720" w:leader="none"/>
        </w:tabs>
        <w:rPr>
          <w:sz w:val="24"/>
        </w:rPr>
      </w:pPr>
      <w:r>
        <w:rPr>
          <w:sz w:val="24"/>
        </w:rPr>
      </w:r>
    </w:p>
    <w:p>
      <w:pPr>
        <w:pStyle w:val="Header"/>
        <w:tabs>
          <w:tab w:val="clear" w:pos="4320"/>
          <w:tab w:val="clear" w:pos="8640"/>
          <w:tab w:val="left" w:pos="720" w:leader="none"/>
          <w:tab w:val="right" w:pos="9720" w:leader="none"/>
        </w:tabs>
        <w:rPr/>
      </w:pPr>
      <w:r>
        <w:rPr/>
      </w:r>
    </w:p>
    <w:p>
      <w:pPr>
        <w:pStyle w:val="Header"/>
        <w:tabs>
          <w:tab w:val="clear" w:pos="4320"/>
          <w:tab w:val="clear" w:pos="8640"/>
          <w:tab w:val="left" w:pos="360" w:leader="none"/>
          <w:tab w:val="right" w:pos="9720" w:leader="none"/>
        </w:tabs>
        <w:rPr/>
      </w:pPr>
      <w:r>
        <w:rPr>
          <w:sz w:val="28"/>
        </w:rPr>
        <w:tab/>
      </w:r>
      <w:r>
        <w:rPr>
          <w:rFonts w:eastAsia="Wingdings" w:cs="Wingdings" w:ascii="Wingdings" w:hAnsi="Wingdings"/>
          <w:sz w:val="28"/>
        </w:rPr>
        <w:sym w:font="Wingdings" w:char="f06e"/>
      </w:r>
      <w:r>
        <w:rPr>
          <w:sz w:val="28"/>
        </w:rPr>
        <w:t xml:space="preserve">  </w:t>
      </w:r>
      <w:r>
        <w:rPr>
          <w:b/>
          <w:sz w:val="24"/>
        </w:rPr>
        <w:t>Government Relations Advisory Committee – Chris Pappas</w:t>
      </w:r>
      <w:r>
        <w:rPr>
          <w:sz w:val="28"/>
        </w:rPr>
        <w:tab/>
      </w:r>
    </w:p>
    <w:p>
      <w:pPr>
        <w:pStyle w:val="Header"/>
        <w:numPr>
          <w:ilvl w:val="0"/>
          <w:numId w:val="6"/>
        </w:numPr>
        <w:tabs>
          <w:tab w:val="clear" w:pos="4320"/>
          <w:tab w:val="clear" w:pos="8640"/>
          <w:tab w:val="left" w:pos="720" w:leader="none"/>
          <w:tab w:val="left" w:pos="990" w:leader="none"/>
          <w:tab w:val="right" w:pos="9720" w:leader="none"/>
        </w:tabs>
        <w:ind w:hanging="360" w:start="1080" w:end="0"/>
        <w:rPr>
          <w:bCs/>
          <w:sz w:val="24"/>
        </w:rPr>
      </w:pPr>
      <w:r>
        <w:rPr>
          <w:bCs/>
          <w:i/>
          <w:sz w:val="24"/>
        </w:rPr>
        <w:t>Report on pre-filed legislation—77th Texas Legislature</w:t>
      </w:r>
    </w:p>
    <w:p>
      <w:pPr>
        <w:pStyle w:val="Header"/>
        <w:numPr>
          <w:ilvl w:val="0"/>
          <w:numId w:val="6"/>
        </w:numPr>
        <w:tabs>
          <w:tab w:val="clear" w:pos="4320"/>
          <w:tab w:val="clear" w:pos="8640"/>
          <w:tab w:val="left" w:pos="720" w:leader="none"/>
          <w:tab w:val="left" w:pos="990" w:leader="none"/>
          <w:tab w:val="right" w:pos="9720" w:leader="none"/>
        </w:tabs>
        <w:ind w:hanging="360" w:start="1080" w:end="0"/>
        <w:rPr>
          <w:bCs/>
          <w:i/>
          <w:i/>
          <w:iCs/>
          <w:sz w:val="24"/>
        </w:rPr>
      </w:pPr>
      <w:r>
        <w:rPr>
          <w:bCs/>
          <w:i/>
          <w:iCs/>
          <w:sz w:val="24"/>
        </w:rPr>
        <w:t>Common agenda for the Metro 8 Chambers of Commerce</w:t>
      </w:r>
    </w:p>
    <w:p>
      <w:pPr>
        <w:pStyle w:val="Header"/>
        <w:tabs>
          <w:tab w:val="clear" w:pos="4320"/>
          <w:tab w:val="clear" w:pos="8640"/>
          <w:tab w:val="left" w:pos="720" w:leader="none"/>
          <w:tab w:val="right" w:pos="9720" w:leader="none"/>
        </w:tabs>
        <w:rPr>
          <w:bCs/>
          <w:i/>
          <w:i/>
          <w:iCs/>
          <w:sz w:val="24"/>
        </w:rPr>
      </w:pPr>
      <w:r>
        <w:rPr>
          <w:bCs/>
          <w:i/>
          <w:iCs/>
          <w:sz w:val="24"/>
        </w:rPr>
      </w:r>
    </w:p>
    <w:p>
      <w:pPr>
        <w:pStyle w:val="Header"/>
        <w:tabs>
          <w:tab w:val="clear" w:pos="4320"/>
          <w:tab w:val="clear" w:pos="8640"/>
          <w:tab w:val="left" w:pos="720" w:leader="none"/>
          <w:tab w:val="right" w:pos="9720" w:leader="none"/>
        </w:tabs>
        <w:rPr>
          <w:bCs/>
          <w:i/>
          <w:i/>
          <w:iCs/>
          <w:sz w:val="24"/>
        </w:rPr>
      </w:pPr>
      <w:r>
        <w:rPr>
          <w:bCs/>
          <w:i/>
          <w:iCs/>
          <w:sz w:val="24"/>
        </w:rPr>
      </w:r>
    </w:p>
    <w:p>
      <w:pPr>
        <w:pStyle w:val="Header"/>
        <w:numPr>
          <w:ilvl w:val="0"/>
          <w:numId w:val="2"/>
        </w:numPr>
        <w:tabs>
          <w:tab w:val="clear" w:pos="4320"/>
          <w:tab w:val="clear" w:pos="8640"/>
          <w:tab w:val="left" w:pos="360" w:leader="none"/>
          <w:tab w:val="right" w:pos="9720" w:leader="none"/>
        </w:tabs>
        <w:rPr>
          <w:b/>
          <w:sz w:val="24"/>
        </w:rPr>
      </w:pPr>
      <w:r>
        <w:rPr>
          <w:b/>
          <w:sz w:val="24"/>
        </w:rPr>
        <w:t>Business Issues Advisory Committee – Charles McMahen</w:t>
      </w:r>
    </w:p>
    <w:p>
      <w:pPr>
        <w:pStyle w:val="Header"/>
        <w:numPr>
          <w:ilvl w:val="0"/>
          <w:numId w:val="6"/>
        </w:numPr>
        <w:tabs>
          <w:tab w:val="clear" w:pos="4320"/>
          <w:tab w:val="clear" w:pos="8640"/>
          <w:tab w:val="left" w:pos="720" w:leader="none"/>
          <w:tab w:val="left" w:pos="990" w:leader="none"/>
          <w:tab w:val="right" w:pos="9720" w:leader="none"/>
        </w:tabs>
        <w:ind w:hanging="360" w:start="1080" w:end="0"/>
        <w:rPr>
          <w:bCs/>
          <w:sz w:val="24"/>
        </w:rPr>
      </w:pPr>
      <w:r>
        <w:rPr>
          <w:bCs/>
          <w:i/>
          <w:sz w:val="24"/>
        </w:rPr>
        <w:t>Quality of life</w:t>
      </w:r>
    </w:p>
    <w:p>
      <w:pPr>
        <w:pStyle w:val="Header"/>
        <w:numPr>
          <w:ilvl w:val="0"/>
          <w:numId w:val="6"/>
        </w:numPr>
        <w:tabs>
          <w:tab w:val="clear" w:pos="4320"/>
          <w:tab w:val="clear" w:pos="8640"/>
          <w:tab w:val="left" w:pos="720" w:leader="none"/>
          <w:tab w:val="left" w:pos="990" w:leader="none"/>
          <w:tab w:val="right" w:pos="9720" w:leader="none"/>
        </w:tabs>
        <w:ind w:hanging="360" w:start="1080" w:end="0"/>
        <w:rPr>
          <w:bCs/>
          <w:sz w:val="24"/>
        </w:rPr>
      </w:pPr>
      <w:r>
        <w:rPr>
          <w:bCs/>
          <w:i/>
          <w:sz w:val="24"/>
        </w:rPr>
        <w:t>Tort reform issues</w:t>
      </w:r>
    </w:p>
    <w:p>
      <w:pPr>
        <w:pStyle w:val="Header"/>
        <w:numPr>
          <w:ilvl w:val="0"/>
          <w:numId w:val="6"/>
        </w:numPr>
        <w:tabs>
          <w:tab w:val="clear" w:pos="4320"/>
          <w:tab w:val="clear" w:pos="8640"/>
          <w:tab w:val="left" w:pos="720" w:leader="none"/>
          <w:tab w:val="left" w:pos="1350" w:leader="none"/>
          <w:tab w:val="right" w:pos="9720" w:leader="none"/>
        </w:tabs>
        <w:ind w:hanging="360" w:start="1440" w:end="0"/>
        <w:rPr>
          <w:bCs/>
          <w:sz w:val="24"/>
        </w:rPr>
      </w:pPr>
      <w:r>
        <w:rPr>
          <w:bCs/>
          <w:i/>
          <w:sz w:val="24"/>
        </w:rPr>
        <w:t>Change of venue</w:t>
      </w:r>
    </w:p>
    <w:p>
      <w:pPr>
        <w:pStyle w:val="Header"/>
        <w:numPr>
          <w:ilvl w:val="0"/>
          <w:numId w:val="6"/>
        </w:numPr>
        <w:tabs>
          <w:tab w:val="clear" w:pos="4320"/>
          <w:tab w:val="clear" w:pos="8640"/>
          <w:tab w:val="left" w:pos="720" w:leader="none"/>
          <w:tab w:val="left" w:pos="1350" w:leader="none"/>
          <w:tab w:val="right" w:pos="9720" w:leader="none"/>
        </w:tabs>
        <w:ind w:hanging="360" w:start="1440" w:end="0"/>
        <w:rPr>
          <w:bCs/>
          <w:i/>
          <w:i/>
          <w:iCs/>
          <w:sz w:val="24"/>
        </w:rPr>
      </w:pPr>
      <w:r>
        <w:rPr>
          <w:bCs/>
          <w:i/>
          <w:iCs/>
          <w:sz w:val="24"/>
        </w:rPr>
        <w:t>Extension of statute of limitations</w:t>
      </w:r>
    </w:p>
    <w:p>
      <w:pPr>
        <w:pStyle w:val="Items"/>
        <w:numPr>
          <w:ilvl w:val="0"/>
          <w:numId w:val="0"/>
        </w:numPr>
        <w:ind w:hanging="0" w:start="0"/>
        <w:rPr>
          <w:bCs/>
          <w:i/>
          <w:i/>
          <w:iCs/>
          <w:sz w:val="24"/>
        </w:rPr>
      </w:pPr>
      <w:r>
        <w:rPr>
          <w:bCs/>
          <w:i/>
          <w:iCs/>
          <w:sz w:val="24"/>
        </w:rPr>
      </w:r>
    </w:p>
    <w:p>
      <w:pPr>
        <w:pStyle w:val="Header"/>
        <w:tabs>
          <w:tab w:val="clear" w:pos="4320"/>
          <w:tab w:val="clear" w:pos="8640"/>
          <w:tab w:val="left" w:pos="720" w:leader="none"/>
          <w:tab w:val="right" w:pos="9720" w:leader="none"/>
        </w:tabs>
        <w:rPr>
          <w:i/>
          <w:i/>
          <w:sz w:val="24"/>
        </w:rPr>
      </w:pPr>
      <w:r>
        <w:rPr>
          <w:i/>
          <w:sz w:val="24"/>
        </w:rPr>
      </w:r>
    </w:p>
    <w:p>
      <w:pPr>
        <w:pStyle w:val="Header"/>
        <w:tabs>
          <w:tab w:val="clear" w:pos="4320"/>
          <w:tab w:val="clear" w:pos="8640"/>
          <w:tab w:val="left" w:pos="360" w:leader="none"/>
          <w:tab w:val="right" w:pos="9720" w:leader="none"/>
        </w:tabs>
        <w:rPr/>
      </w:pPr>
      <w:r>
        <w:rPr>
          <w:sz w:val="28"/>
        </w:rPr>
        <w:tab/>
      </w:r>
      <w:r>
        <w:rPr>
          <w:rFonts w:eastAsia="Wingdings" w:cs="Wingdings" w:ascii="Wingdings" w:hAnsi="Wingdings"/>
          <w:sz w:val="28"/>
        </w:rPr>
        <w:sym w:font="Wingdings" w:char="f06e"/>
      </w:r>
      <w:r>
        <w:rPr>
          <w:sz w:val="28"/>
        </w:rPr>
        <w:t xml:space="preserve">  </w:t>
      </w:r>
      <w:r>
        <w:rPr>
          <w:b/>
          <w:sz w:val="24"/>
        </w:rPr>
        <w:t>Transportation and Infrastructure Advisory Committee – Richard Everett</w:t>
      </w:r>
    </w:p>
    <w:p>
      <w:pPr>
        <w:pStyle w:val="Header"/>
        <w:numPr>
          <w:ilvl w:val="0"/>
          <w:numId w:val="6"/>
        </w:numPr>
        <w:tabs>
          <w:tab w:val="clear" w:pos="4320"/>
          <w:tab w:val="clear" w:pos="8640"/>
          <w:tab w:val="left" w:pos="720" w:leader="none"/>
          <w:tab w:val="left" w:pos="990" w:leader="none"/>
          <w:tab w:val="right" w:pos="9720" w:leader="none"/>
        </w:tabs>
        <w:ind w:hanging="360" w:start="1080" w:end="0"/>
        <w:rPr>
          <w:bCs/>
          <w:i/>
          <w:i/>
          <w:sz w:val="24"/>
        </w:rPr>
      </w:pPr>
      <w:r>
        <w:rPr>
          <w:bCs/>
          <w:i/>
          <w:sz w:val="24"/>
        </w:rPr>
        <w:t>Light rail update</w:t>
      </w:r>
    </w:p>
    <w:p>
      <w:pPr>
        <w:pStyle w:val="Header"/>
        <w:numPr>
          <w:ilvl w:val="0"/>
          <w:numId w:val="6"/>
        </w:numPr>
        <w:tabs>
          <w:tab w:val="clear" w:pos="4320"/>
          <w:tab w:val="clear" w:pos="8640"/>
          <w:tab w:val="left" w:pos="720" w:leader="none"/>
          <w:tab w:val="left" w:pos="990" w:leader="none"/>
          <w:tab w:val="right" w:pos="9720" w:leader="none"/>
        </w:tabs>
        <w:ind w:hanging="360" w:start="1080" w:end="0"/>
        <w:rPr>
          <w:bCs/>
          <w:i/>
          <w:i/>
          <w:sz w:val="24"/>
        </w:rPr>
      </w:pPr>
      <w:r>
        <w:rPr>
          <w:bCs/>
          <w:i/>
          <w:sz w:val="24"/>
        </w:rPr>
        <w:t>Regional water supply issues</w:t>
      </w:r>
    </w:p>
    <w:p>
      <w:pPr>
        <w:pStyle w:val="Header"/>
        <w:numPr>
          <w:ilvl w:val="0"/>
          <w:numId w:val="6"/>
        </w:numPr>
        <w:tabs>
          <w:tab w:val="clear" w:pos="4320"/>
          <w:tab w:val="clear" w:pos="8640"/>
          <w:tab w:val="left" w:pos="720" w:leader="none"/>
          <w:tab w:val="left" w:pos="990" w:leader="none"/>
          <w:tab w:val="right" w:pos="9720" w:leader="none"/>
        </w:tabs>
        <w:ind w:hanging="360" w:start="1080" w:end="0"/>
        <w:rPr>
          <w:bCs/>
          <w:i/>
          <w:i/>
          <w:sz w:val="24"/>
        </w:rPr>
      </w:pPr>
      <w:r>
        <w:rPr>
          <w:bCs/>
          <w:i/>
          <w:sz w:val="24"/>
        </w:rPr>
        <w:t>I-69 update</w:t>
      </w:r>
    </w:p>
    <w:p>
      <w:pPr>
        <w:pStyle w:val="Items"/>
        <w:numPr>
          <w:ilvl w:val="0"/>
          <w:numId w:val="0"/>
        </w:numPr>
        <w:ind w:hanging="0" w:start="0"/>
        <w:rPr>
          <w:bCs/>
          <w:i/>
          <w:i/>
          <w:sz w:val="24"/>
        </w:rPr>
      </w:pPr>
      <w:r>
        <w:rPr>
          <w:bCs/>
          <w:i/>
          <w:sz w:val="24"/>
        </w:rPr>
      </w:r>
    </w:p>
    <w:p>
      <w:pPr>
        <w:pStyle w:val="Header"/>
        <w:tabs>
          <w:tab w:val="clear" w:pos="4320"/>
          <w:tab w:val="clear" w:pos="8640"/>
          <w:tab w:val="left" w:pos="720" w:leader="none"/>
          <w:tab w:val="right" w:pos="9720" w:leader="none"/>
        </w:tabs>
        <w:rPr>
          <w:b/>
          <w:sz w:val="24"/>
        </w:rPr>
      </w:pPr>
      <w:r>
        <w:rPr>
          <w:b/>
          <w:sz w:val="24"/>
        </w:rPr>
      </w:r>
    </w:p>
    <w:p>
      <w:pPr>
        <w:pStyle w:val="Header"/>
        <w:tabs>
          <w:tab w:val="clear" w:pos="4320"/>
          <w:tab w:val="clear" w:pos="8640"/>
          <w:tab w:val="left" w:pos="720" w:leader="none"/>
          <w:tab w:val="right" w:pos="9720" w:leader="none"/>
        </w:tabs>
        <w:ind w:hanging="90" w:start="180" w:end="0"/>
        <w:rPr/>
      </w:pPr>
      <w:r>
        <w:rPr>
          <w:sz w:val="28"/>
        </w:rPr>
        <w:tab/>
        <w:t xml:space="preserve">  </w:t>
      </w:r>
      <w:r>
        <w:rPr>
          <w:rFonts w:eastAsia="Wingdings" w:cs="Wingdings" w:ascii="Wingdings" w:hAnsi="Wingdings"/>
          <w:sz w:val="28"/>
        </w:rPr>
        <w:sym w:font="Wingdings" w:char="f06e"/>
      </w:r>
      <w:r>
        <w:rPr>
          <w:sz w:val="28"/>
        </w:rPr>
        <w:tab/>
      </w:r>
      <w:r>
        <w:rPr>
          <w:b/>
          <w:sz w:val="24"/>
        </w:rPr>
        <w:t>Environment Advisory Committee – Kelly Frels</w:t>
        <w:tab/>
      </w:r>
    </w:p>
    <w:p>
      <w:pPr>
        <w:pStyle w:val="Header"/>
        <w:numPr>
          <w:ilvl w:val="0"/>
          <w:numId w:val="6"/>
        </w:numPr>
        <w:tabs>
          <w:tab w:val="clear" w:pos="4320"/>
          <w:tab w:val="clear" w:pos="8640"/>
          <w:tab w:val="left" w:pos="720" w:leader="none"/>
          <w:tab w:val="left" w:pos="990" w:leader="none"/>
          <w:tab w:val="right" w:pos="9720" w:leader="none"/>
        </w:tabs>
        <w:ind w:hanging="360" w:start="1080" w:end="0"/>
        <w:rPr>
          <w:bCs/>
          <w:i/>
          <w:i/>
          <w:iCs/>
          <w:sz w:val="24"/>
        </w:rPr>
      </w:pPr>
      <w:r>
        <w:rPr>
          <w:bCs/>
          <w:i/>
          <w:iCs/>
          <w:sz w:val="24"/>
        </w:rPr>
        <w:t>Final SIP proposals</w:t>
      </w:r>
    </w:p>
    <w:p>
      <w:pPr>
        <w:pStyle w:val="Items"/>
        <w:numPr>
          <w:ilvl w:val="0"/>
          <w:numId w:val="0"/>
        </w:numPr>
        <w:ind w:hanging="0" w:start="0"/>
        <w:rPr>
          <w:bCs/>
          <w:i/>
          <w:i/>
          <w:iCs/>
          <w:sz w:val="24"/>
        </w:rPr>
      </w:pPr>
      <w:r>
        <w:rPr>
          <w:bCs/>
          <w:i/>
          <w:iCs/>
          <w:sz w:val="24"/>
        </w:rPr>
      </w:r>
    </w:p>
    <w:p>
      <w:pPr>
        <w:pStyle w:val="Header"/>
        <w:tabs>
          <w:tab w:val="clear" w:pos="4320"/>
          <w:tab w:val="clear" w:pos="8640"/>
          <w:tab w:val="left" w:pos="720" w:leader="none"/>
          <w:tab w:val="right" w:pos="9720" w:leader="none"/>
        </w:tabs>
        <w:rPr>
          <w:b/>
          <w:sz w:val="28"/>
        </w:rPr>
      </w:pPr>
      <w:r>
        <w:rPr>
          <w:b/>
          <w:sz w:val="28"/>
        </w:rPr>
        <w:t>ANNOUNCEMENTS</w:t>
      </w:r>
    </w:p>
    <w:p>
      <w:pPr>
        <w:pStyle w:val="Normal"/>
        <w:rPr>
          <w:b/>
          <w:sz w:val="24"/>
        </w:rPr>
      </w:pPr>
      <w:r>
        <w:rPr>
          <w:b/>
          <w:sz w:val="24"/>
        </w:rPr>
      </w:r>
    </w:p>
    <w:p>
      <w:pPr>
        <w:pStyle w:val="Date"/>
        <w:rPr>
          <w:i/>
          <w:i/>
        </w:rPr>
      </w:pPr>
      <w:r>
        <w:rPr>
          <w:i/>
        </w:rPr>
        <w:t>December 6</w:t>
      </w:r>
    </w:p>
    <w:p>
      <w:pPr>
        <w:pStyle w:val="Normal"/>
        <w:rPr>
          <w:b/>
          <w:sz w:val="24"/>
        </w:rPr>
      </w:pPr>
      <w:r>
        <w:rPr>
          <w:b/>
          <w:sz w:val="24"/>
        </w:rPr>
        <w:t>Annual Elected Officials Reception</w:t>
      </w:r>
    </w:p>
    <w:p>
      <w:pPr>
        <w:pStyle w:val="Normal"/>
        <w:rPr>
          <w:bCs/>
          <w:sz w:val="24"/>
        </w:rPr>
      </w:pPr>
      <w:r>
        <w:rPr>
          <w:bCs/>
          <w:sz w:val="24"/>
        </w:rPr>
        <w:t>Join the Partnership in honoring the Houston region’s local, state and federal officials for their public service throughout 2000. This reception will be from 5:30 to 7 p.m. at Rice University’s Shepherd School of Music (Alice Pratt Brown Hall). The cost is $40 for members ($50 after Nov. 30 and at the door), $80 for non-members ($100 after Nov. 30 and at the door). For reservations, call Allyson LaFave at 713-844-3659.</w:t>
      </w:r>
    </w:p>
    <w:p>
      <w:pPr>
        <w:pStyle w:val="Normal"/>
        <w:rPr>
          <w:bCs/>
          <w:sz w:val="24"/>
        </w:rPr>
      </w:pPr>
      <w:r>
        <w:rPr>
          <w:bCs/>
          <w:sz w:val="24"/>
        </w:rPr>
        <w:br/>
      </w:r>
      <w:r>
        <w:br w:type="page"/>
      </w:r>
    </w:p>
    <w:p>
      <w:pPr>
        <w:pStyle w:val="Normal"/>
        <w:rPr>
          <w:sz w:val="24"/>
        </w:rPr>
      </w:pPr>
      <w:r>
        <w:rPr>
          <w:sz w:val="24"/>
        </w:rPr>
        <w:t>December 11</w:t>
      </w:r>
    </w:p>
    <w:p>
      <w:pPr>
        <w:pStyle w:val="Normal"/>
        <w:rPr>
          <w:b/>
          <w:sz w:val="24"/>
        </w:rPr>
      </w:pPr>
      <w:r>
        <w:rPr>
          <w:b/>
          <w:sz w:val="24"/>
        </w:rPr>
        <w:t xml:space="preserve">Reception for Alliance for I-69 Texas </w:t>
      </w:r>
    </w:p>
    <w:p>
      <w:pPr>
        <w:pStyle w:val="Normal"/>
        <w:rPr>
          <w:bCs/>
          <w:sz w:val="24"/>
        </w:rPr>
      </w:pPr>
      <w:r>
        <w:rPr>
          <w:bCs/>
          <w:sz w:val="24"/>
        </w:rPr>
        <w:t>Please join host Turner Collie &amp; Braden Inc. at this reception to apprise interested parties and elected officials of the efforts by the Alliance for I-69 Texas to promote I-69 in the state. Membership includes government and business interests from 34 Texas counties, with administrative support provided by the Greater Houston Partnership. This event will be from 7 to 9 p.m. at the Omni Houston Hotel, 4 Riverway. For reservations, call Amy Carruth at 713-844-3656 by Dec. 5.</w:t>
      </w:r>
    </w:p>
    <w:p>
      <w:pPr>
        <w:pStyle w:val="Normal"/>
        <w:rPr>
          <w:bCs/>
          <w:sz w:val="24"/>
        </w:rPr>
      </w:pPr>
      <w:r>
        <w:rPr>
          <w:bCs/>
          <w:sz w:val="24"/>
        </w:rPr>
      </w:r>
    </w:p>
    <w:p>
      <w:pPr>
        <w:pStyle w:val="Date"/>
        <w:rPr>
          <w:i/>
          <w:i/>
        </w:rPr>
      </w:pPr>
      <w:r>
        <w:rPr>
          <w:i/>
        </w:rPr>
        <w:t>December 12</w:t>
      </w:r>
    </w:p>
    <w:p>
      <w:pPr>
        <w:pStyle w:val="Normal"/>
        <w:rPr>
          <w:bCs/>
          <w:sz w:val="24"/>
        </w:rPr>
      </w:pPr>
      <w:r>
        <w:rPr>
          <w:b/>
          <w:sz w:val="24"/>
        </w:rPr>
        <w:t>Alliance for I-69 Texas Annual Meeting</w:t>
      </w:r>
    </w:p>
    <w:p>
      <w:pPr>
        <w:pStyle w:val="Normal"/>
        <w:rPr>
          <w:bCs/>
        </w:rPr>
      </w:pPr>
      <w:r>
        <w:rPr>
          <w:bCs/>
          <w:sz w:val="24"/>
        </w:rPr>
        <w:t>This annual meeting to promote development of I-69 in Texas will feature presentations by Al Luedecke, director of transportation planning, Texas Department of Transportation; Eugene Cleckley, director, Southern Resource Center, U.S. Department of Transportation; and Luis Rafael Apperti Llovet, director general of infrastructure and commerce in Tamaulipas, Mexico. This luncheon event will be held from 10 a.m. to 1:30 p.m. at the Omni Houston Hotel, 4 Riverway. The cost is $40. Tables of 10 are $400. The event is hosted by Harris County Judge Robert Eckels and sponsored by Dannenbaum Engineering Corporation, Brown &amp; Root Services, JNS Consulting Engineers, the City of Nacogdoches and the City of Laredo. The Partnership provides administrative support to the Alliance for I-69 Texas. For reservations, call Amy Carruth at 713-844-3656 by Dec. 5.</w:t>
      </w:r>
    </w:p>
    <w:p>
      <w:pPr>
        <w:pStyle w:val="Normal"/>
        <w:rPr>
          <w:b/>
          <w:bCs/>
        </w:rPr>
      </w:pPr>
      <w:r>
        <w:rPr>
          <w:b/>
          <w:bCs/>
        </w:rPr>
      </w:r>
    </w:p>
    <w:p>
      <w:pPr>
        <w:pStyle w:val="BodyText"/>
        <w:rPr>
          <w:i/>
          <w:i/>
        </w:rPr>
      </w:pPr>
      <w:r>
        <w:rPr>
          <w:b/>
        </w:rPr>
        <w:t>2001 EVENTS</w:t>
      </w:r>
    </w:p>
    <w:p>
      <w:pPr>
        <w:pStyle w:val="Date"/>
        <w:rPr>
          <w:i/>
          <w:i/>
        </w:rPr>
      </w:pPr>
      <w:r>
        <w:rPr>
          <w:i/>
        </w:rPr>
        <w:t>January 9</w:t>
      </w:r>
    </w:p>
    <w:p>
      <w:pPr>
        <w:pStyle w:val="EventHeading"/>
        <w:rPr>
          <w:rFonts w:ascii="Times New Roman" w:hAnsi="Times New Roman" w:cs="Times New Roman"/>
          <w:sz w:val="24"/>
        </w:rPr>
      </w:pPr>
      <w:r>
        <w:rPr>
          <w:rFonts w:cs="Times New Roman" w:ascii="Times New Roman" w:hAnsi="Times New Roman"/>
          <w:sz w:val="24"/>
        </w:rPr>
        <w:t>Annual Meeting</w:t>
      </w:r>
    </w:p>
    <w:p>
      <w:pPr>
        <w:pStyle w:val="Date"/>
        <w:rPr/>
      </w:pPr>
      <w:r>
        <w:rPr/>
        <w:t>All Partnership members are invited to attend the annual meeting luncheon to vote on nominees for the 2001 Board of Directors and learn what the Partnership has in store for the coming year. Proxies listing the board candidates will be mailed in early December. The meeting will be held from noon to 1:30 p.m. at the George R. Brown Convention Center. Tickets are $50. For reservations, call Terri Weeden at 713-844-3692.</w:t>
      </w:r>
    </w:p>
    <w:p>
      <w:pPr>
        <w:pStyle w:val="Normal"/>
        <w:rPr>
          <w:sz w:val="24"/>
        </w:rPr>
      </w:pPr>
      <w:r>
        <w:rPr>
          <w:sz w:val="24"/>
        </w:rPr>
      </w:r>
    </w:p>
    <w:p>
      <w:pPr>
        <w:pStyle w:val="Date"/>
        <w:rPr>
          <w:i/>
          <w:i/>
        </w:rPr>
      </w:pPr>
      <w:r>
        <w:rPr>
          <w:i/>
        </w:rPr>
        <w:t>January 25</w:t>
      </w:r>
    </w:p>
    <w:p>
      <w:pPr>
        <w:pStyle w:val="Heading3"/>
        <w:ind w:hanging="0" w:start="0"/>
        <w:rPr/>
      </w:pPr>
      <w:r>
        <w:rPr/>
        <w:t>The Workforce War and How to Win It</w:t>
      </w:r>
    </w:p>
    <w:p>
      <w:pPr>
        <w:pStyle w:val="Normal"/>
        <w:rPr>
          <w:bCs/>
          <w:sz w:val="24"/>
        </w:rPr>
      </w:pPr>
      <w:r>
        <w:rPr>
          <w:bCs/>
          <w:sz w:val="24"/>
        </w:rPr>
        <w:t>This Targeting Success Workshop will give you a competitive edge in what companies say is their biggest concern. Topics include the current climate in recruiting, recruiting methods, motivating Generation X-ers and Y-ers, and 10 things to know about employees vs. contract employees. Sponsored by the Partnership and Comerica Bank–Texas, this luncheon event will be from 11 a.m. to 1:30 p.m. at the Partnership, 1200 Smith, Suite 7000. The cost is $45 for members, $90 for non-members. For reservations, call Jennifer Collins at 713-844-3680 by Nov. 7.</w:t>
      </w:r>
    </w:p>
    <w:p>
      <w:pPr>
        <w:pStyle w:val="Normal"/>
        <w:rPr>
          <w:bCs/>
          <w:sz w:val="24"/>
        </w:rPr>
      </w:pPr>
      <w:r>
        <w:rPr>
          <w:bCs/>
          <w:sz w:val="24"/>
        </w:rPr>
      </w:r>
    </w:p>
    <w:p>
      <w:pPr>
        <w:pStyle w:val="Normal"/>
        <w:autoSpaceDE w:val="false"/>
        <w:rPr>
          <w:i/>
          <w:i/>
          <w:iCs/>
          <w:sz w:val="24"/>
        </w:rPr>
      </w:pPr>
      <w:r>
        <w:rPr>
          <w:i/>
          <w:iCs/>
          <w:sz w:val="24"/>
        </w:rPr>
        <w:t>January 29</w:t>
      </w:r>
    </w:p>
    <w:p>
      <w:pPr>
        <w:pStyle w:val="Normal"/>
        <w:autoSpaceDE w:val="false"/>
        <w:rPr>
          <w:b/>
          <w:bCs/>
          <w:sz w:val="24"/>
        </w:rPr>
      </w:pPr>
      <w:r>
        <w:rPr>
          <w:b/>
          <w:bCs/>
          <w:sz w:val="24"/>
        </w:rPr>
        <w:t>State of the City Address</w:t>
      </w:r>
    </w:p>
    <w:p>
      <w:pPr>
        <w:pStyle w:val="Normal"/>
        <w:autoSpaceDE w:val="false"/>
        <w:rPr>
          <w:color w:val="0000FF"/>
          <w:sz w:val="24"/>
        </w:rPr>
      </w:pPr>
      <w:r>
        <w:rPr>
          <w:sz w:val="24"/>
        </w:rPr>
        <w:t>One of the Partnership's largest events for networking with key local elected officials and decision-makers, this luncheon provides a forum for Mayor Lee P. Brown to comment on the previous year and outline city initiatives for 2001. This event will be from noon to 1:30 p.m. at the George R. Brown Convention Center.  Cost is $40 for members ($50 after Jan. 22) and $80 for non-members ($100 after Jan. 22).  For reservations, call Allyson LaFave at 713-844-3659.</w:t>
      </w:r>
    </w:p>
    <w:p>
      <w:pPr>
        <w:pStyle w:val="Normal"/>
        <w:autoSpaceDE w:val="false"/>
        <w:rPr>
          <w:color w:val="0000FF"/>
          <w:sz w:val="24"/>
        </w:rPr>
      </w:pPr>
      <w:r>
        <w:rPr>
          <w:color w:val="0000FF"/>
          <w:sz w:val="24"/>
        </w:rPr>
      </w:r>
    </w:p>
    <w:p>
      <w:pPr>
        <w:pStyle w:val="Normal"/>
        <w:autoSpaceDE w:val="false"/>
        <w:rPr>
          <w:i/>
          <w:i/>
          <w:iCs/>
          <w:sz w:val="24"/>
        </w:rPr>
      </w:pPr>
      <w:r>
        <w:rPr>
          <w:i/>
          <w:iCs/>
          <w:sz w:val="24"/>
        </w:rPr>
        <w:t>February 22</w:t>
      </w:r>
    </w:p>
    <w:p>
      <w:pPr>
        <w:pStyle w:val="Normal"/>
        <w:autoSpaceDE w:val="false"/>
        <w:rPr>
          <w:b/>
          <w:bCs/>
          <w:sz w:val="24"/>
        </w:rPr>
      </w:pPr>
      <w:r>
        <w:rPr>
          <w:b/>
          <w:bCs/>
          <w:sz w:val="24"/>
        </w:rPr>
        <w:t>State of the County Address</w:t>
      </w:r>
    </w:p>
    <w:p>
      <w:pPr>
        <w:pStyle w:val="Normal"/>
        <w:autoSpaceDE w:val="false"/>
        <w:rPr/>
      </w:pPr>
      <w:r>
        <w:rPr>
          <w:sz w:val="24"/>
        </w:rPr>
        <w:t>Harris County Judge Robert Eckels will review county initiatives and outline programs for 2001 at this annual networking luncheon. Join the Partnership and local elected officials and decision-makers for this event from noon to 1:30 p.m. at the George R. Brown Convention Center, 1001 Avenida de las Americas.    The cost is $40 for members ($50 after Feb. 15) and $80 for non-members ($100 after Feb.15).  For reservations call Allyson LaFave at 713-844-3659</w:t>
      </w:r>
      <w:r>
        <w:rPr/>
        <w:t>.</w:t>
      </w:r>
    </w:p>
    <w:sectPr>
      <w:headerReference w:type="default" r:id="rId2"/>
      <w:type w:val="nextPage"/>
      <w:pgSz w:w="12240" w:h="15840"/>
      <w:pgMar w:left="1440" w:right="1008" w:gutter="0" w:header="720" w:top="77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rPr>
        <w:b/>
        <w:sz w:val="24"/>
      </w:rPr>
    </w:pPr>
    <w:r>
      <w:rPr>
        <w:b/>
        <w:sz w:val="24"/>
      </w:rPr>
    </w:r>
  </w:p>
  <w:p>
    <w:pPr>
      <w:pStyle w:val="Header"/>
      <w:rPr>
        <w:b/>
        <w:sz w:val="24"/>
      </w:rPr>
    </w:pPr>
    <w:r>
      <w:rPr>
        <w:b/>
        <w:sz w:val="24"/>
      </w:rPr>
    </w:r>
  </w:p>
  <w:p>
    <w:pPr>
      <w:pStyle w:val="Header"/>
      <w:pBdr>
        <w:bottom w:val="single" w:sz="6" w:space="1" w:color="000000"/>
      </w:pBdr>
      <w:tabs>
        <w:tab w:val="clear" w:pos="8640"/>
        <w:tab w:val="center" w:pos="4320" w:leader="none"/>
        <w:tab w:val="right" w:pos="9720" w:leader="none"/>
      </w:tabs>
      <w:rPr>
        <w:b/>
        <w:sz w:val="28"/>
      </w:rPr>
    </w:pPr>
    <w:r>
      <w:rPr>
        <w:b/>
        <w:sz w:val="28"/>
      </w:rPr>
      <w:t>GREATER HOUSTON PARTNERSHIP</w:t>
      <w:tab/>
      <w:t>BOARD OF DIRECTORS</w:t>
    </w:r>
  </w:p>
  <w:p>
    <w:pPr>
      <w:pStyle w:val="Header"/>
      <w:pBdr>
        <w:bottom w:val="single" w:sz="6" w:space="1" w:color="000000"/>
      </w:pBdr>
      <w:rPr>
        <w:b/>
        <w:sz w:val="24"/>
      </w:rPr>
    </w:pPr>
    <w:r>
      <w:rPr>
        <w:b/>
        <w:sz w:val="24"/>
      </w:rPr>
    </w:r>
  </w:p>
  <w:p>
    <w:pPr>
      <w:pStyle w:val="Header"/>
      <w:rPr>
        <w:b/>
        <w:sz w:val="24"/>
      </w:rPr>
    </w:pPr>
    <w:r>
      <w:rPr>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Wingdings" w:hAnsi="Wingdings" w:cs="Wingdings" w:hint="default"/>
        <w:sz w:val="28"/>
        <w:b w:val="false"/>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Symbol" w:hAnsi="Symbol" w:cs="Symbol" w:hint="default"/>
        <w:sz w:val="28"/>
        <w:color w:val="auto"/>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1440"/>
        </w:tabs>
        <w:ind w:start="1440" w:hanging="360"/>
      </w:pPr>
      <w:rPr>
        <w:rFonts w:ascii="Symbol" w:hAnsi="Symbol" w:cs="Symbol"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ind w:hanging="0" w:start="0" w:end="90"/>
      <w:jc w:val="center"/>
      <w:outlineLvl w:val="1"/>
    </w:pPr>
    <w:rPr>
      <w:b/>
      <w:sz w:val="24"/>
    </w:rPr>
  </w:style>
  <w:style w:type="paragraph" w:styleId="Heading3">
    <w:name w:val="heading 3"/>
    <w:basedOn w:val="Normal"/>
    <w:next w:val="Normal"/>
    <w:qFormat/>
    <w:pPr>
      <w:keepNext w:val="true"/>
      <w:numPr>
        <w:ilvl w:val="2"/>
        <w:numId w:val="1"/>
      </w:numPr>
      <w:outlineLvl w:val="2"/>
    </w:pPr>
    <w:rPr>
      <w:b/>
      <w:sz w:val="24"/>
    </w:rPr>
  </w:style>
  <w:style w:type="character" w:styleId="WW8Num1z0">
    <w:name w:val="WW8Num1z0"/>
    <w:qFormat/>
    <w:rPr>
      <w:rFonts w:ascii="Symbol" w:hAnsi="Symbol" w:cs="Symbol"/>
    </w:rPr>
  </w:style>
  <w:style w:type="character" w:styleId="WW8Num2z0">
    <w:name w:val="WW8Num2z0"/>
    <w:qFormat/>
    <w:rPr>
      <w:rFonts w:ascii="Wingdings" w:hAnsi="Wingdings" w:cs="Wingdings"/>
      <w:sz w:val="28"/>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sz w:val="28"/>
    </w:rPr>
  </w:style>
  <w:style w:type="character" w:styleId="WW8Num6z0">
    <w:name w:val="WW8Num6z0"/>
    <w:qFormat/>
    <w:rPr>
      <w:rFonts w:ascii="Symbol" w:hAnsi="Symbol" w:cs="Symbol"/>
    </w:rPr>
  </w:style>
  <w:style w:type="character" w:styleId="WW8Num7z0">
    <w:name w:val="WW8Num7z0"/>
    <w:qFormat/>
    <w:rPr>
      <w:rFonts w:ascii="Wingdings" w:hAnsi="Wingdings" w:cs="Wingdings"/>
      <w:sz w:val="28"/>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sz w:val="2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sz w:val="28"/>
    </w:rPr>
  </w:style>
  <w:style w:type="character" w:styleId="WW8Num11z0">
    <w:name w:val="WW8Num11z0"/>
    <w:qFormat/>
    <w:rPr>
      <w:rFonts w:ascii="Symbol" w:hAnsi="Symbol" w:cs="Symbol"/>
    </w:rPr>
  </w:style>
  <w:style w:type="character" w:styleId="WW8Num12z0">
    <w:name w:val="WW8Num12z0"/>
    <w:qFormat/>
    <w:rPr>
      <w:rFonts w:ascii="Wingdings" w:hAnsi="Wingdings" w:eastAsia="Times New Roman" w:cs="Times New Roman"/>
      <w:b w:val="false"/>
      <w:sz w:val="28"/>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Wingdings" w:hAnsi="Wingdings" w:cs="Wingdings"/>
      <w:sz w:val="28"/>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Wingdings" w:hAnsi="Wingdings" w:cs="Wingdings"/>
      <w:sz w:val="28"/>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Wingdings" w:hAnsi="Wingdings" w:cs="Wingdings"/>
      <w:sz w:val="28"/>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Wingdings" w:hAnsi="Wingdings" w:cs="Wingdings"/>
    </w:rPr>
  </w:style>
  <w:style w:type="character" w:styleId="WW8Num53z1">
    <w:name w:val="WW8Num53z1"/>
    <w:qFormat/>
    <w:rPr>
      <w:rFonts w:ascii="Symbol" w:hAnsi="Symbol" w:cs="Symbol"/>
      <w:color w:val="auto"/>
      <w:sz w:val="28"/>
    </w:rPr>
  </w:style>
  <w:style w:type="character" w:styleId="WW8Num53z3">
    <w:name w:val="WW8Num53z3"/>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Wingdings" w:hAnsi="Wingdings" w:cs="Wingdings"/>
      <w:sz w:val="28"/>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ind w:hanging="0" w:start="0" w:end="90"/>
      <w:jc w:val="center"/>
    </w:pPr>
    <w:rPr>
      <w:b/>
      <w:sz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ventDate">
    <w:name w:val="Event Date"/>
    <w:basedOn w:val="Normal"/>
    <w:qFormat/>
    <w:pPr>
      <w:tabs>
        <w:tab w:val="clear" w:pos="720"/>
        <w:tab w:val="left" w:pos="360" w:leader="none"/>
      </w:tabs>
    </w:pPr>
    <w:rPr>
      <w:rFonts w:ascii="Arial" w:hAnsi="Arial" w:cs="Arial"/>
      <w:i/>
      <w:sz w:val="22"/>
    </w:rPr>
  </w:style>
  <w:style w:type="paragraph" w:styleId="EventHeading">
    <w:name w:val="Event Heading"/>
    <w:basedOn w:val="Normal"/>
    <w:qFormat/>
    <w:pPr>
      <w:tabs>
        <w:tab w:val="clear" w:pos="720"/>
        <w:tab w:val="left" w:pos="360" w:leader="none"/>
      </w:tabs>
    </w:pPr>
    <w:rPr>
      <w:rFonts w:ascii="Arial" w:hAnsi="Arial" w:cs="Arial"/>
      <w:b/>
      <w:sz w:val="22"/>
    </w:rPr>
  </w:style>
  <w:style w:type="paragraph" w:styleId="bodycopy">
    <w:name w:val="body copy"/>
    <w:basedOn w:val="Normal"/>
    <w:qFormat/>
    <w:pPr>
      <w:widowControl w:val="false"/>
      <w:suppressAutoHyphens w:val="true"/>
      <w:spacing w:lineRule="exact" w:line="280"/>
    </w:pPr>
    <w:rPr>
      <w:rFonts w:ascii="Arial" w:hAnsi="Arial" w:cs="Arial"/>
      <w:color w:val="000000"/>
      <w:spacing w:val="-2"/>
      <w:sz w:val="22"/>
    </w:rPr>
  </w:style>
  <w:style w:type="paragraph" w:styleId="Date">
    <w:name w:val="Date"/>
    <w:basedOn w:val="Normal"/>
    <w:next w:val="Normal"/>
    <w:qFormat/>
    <w:pPr/>
    <w:rPr>
      <w:sz w:val="24"/>
    </w:rPr>
  </w:style>
  <w:style w:type="paragraph" w:styleId="Items">
    <w:name w:val="Items"/>
    <w:basedOn w:val="Normal"/>
    <w:qFormat/>
    <w:pPr>
      <w:numPr>
        <w:ilvl w:val="0"/>
        <w:numId w:val="5"/>
      </w:numPr>
      <w:tabs>
        <w:tab w:val="clear" w:pos="720"/>
        <w:tab w:val="left" w:pos="1170" w:leader="none"/>
        <w:tab w:val="left" w:pos="8640" w:leader="none"/>
        <w:tab w:val="left" w:pos="8730" w:leader="none"/>
        <w:tab w:val="right" w:pos="9270" w:leader="none"/>
      </w:tabs>
      <w:suppressAutoHyphens w:val="true"/>
      <w:jc w:val="both"/>
    </w:pPr>
    <w:rPr>
      <w:b/>
      <w:spacing w:val="-3"/>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2000-11-30T18:37:00Z</dcterms:created>
  <dc:creator>Arlene McCarty</dc:creator>
  <dc:description/>
  <dc:language>en-CA</dc:language>
  <cp:lastModifiedBy>Arlene McCarty</cp:lastModifiedBy>
  <cp:lastPrinted>2000-11-28T11:45:00Z</cp:lastPrinted>
  <dcterms:modified xsi:type="dcterms:W3CDTF">2000-11-30T18:37:00Z</dcterms:modified>
  <cp:revision>2</cp:revision>
  <dc:subject/>
  <dc:title>PROPOSED AGENDA</dc:title>
</cp:coreProperties>
</file>