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nil"/>
        </w:pBdr>
        <w:spacing w:before="120" w:after="120"/>
        <w:rPr/>
      </w:pPr>
      <w:r>
        <w:rPr/>
        <w:t>Gas Accord II Settlement</w:t>
      </w:r>
    </w:p>
    <w:p>
      <w:pPr>
        <w:pStyle w:val="BodyText"/>
        <w:spacing w:before="120" w:after="0"/>
        <w:rPr>
          <w:i w:val="false"/>
          <w:i w:val="false"/>
          <w:iCs/>
          <w:sz w:val="32"/>
        </w:rPr>
      </w:pPr>
      <w:bookmarkStart w:id="0" w:name="DocTitle1"/>
      <w:r>
        <w:rPr>
          <w:i w:val="false"/>
          <w:iCs/>
          <w:sz w:val="32"/>
        </w:rPr>
        <w:t>Workshop</w:t>
      </w:r>
      <w:bookmarkEnd w:id="0"/>
    </w:p>
    <w:p>
      <w:pPr>
        <w:pStyle w:val="Normal"/>
        <w:jc w:val="center"/>
        <w:rPr>
          <w:rFonts w:ascii="Georgia" w:hAnsi="Georgia" w:cs="Georgia"/>
          <w:b/>
          <w:sz w:val="28"/>
        </w:rPr>
      </w:pPr>
      <w:r>
        <w:rPr>
          <w:rFonts w:cs="Georgia" w:ascii="Georgia" w:hAnsi="Georgia"/>
          <w:b/>
          <w:sz w:val="28"/>
        </w:rPr>
        <w:t>February 7, 2001, 9:00 a.m. to 5:00 p.m.</w:t>
      </w:r>
    </w:p>
    <w:p>
      <w:pPr>
        <w:pStyle w:val="Normal"/>
        <w:jc w:val="center"/>
        <w:rPr>
          <w:rFonts w:ascii="Georgia" w:hAnsi="Georgia" w:cs="Georgia"/>
        </w:rPr>
      </w:pPr>
      <w:r>
        <w:rPr>
          <w:rFonts w:cs="Georgia" w:ascii="Georgia" w:hAnsi="Georgia"/>
        </w:rPr>
        <w:t>(Conference Room 300, 77 Beale Street, San Francisco)</w:t>
      </w:r>
    </w:p>
    <w:p>
      <w:pPr>
        <w:pStyle w:val="Heading2"/>
        <w:spacing w:before="360" w:after="0"/>
        <w:rPr/>
      </w:pPr>
      <w:r>
        <w:rPr/>
        <w:t>AGENDA</w:t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8010"/>
        <w:gridCol w:w="990"/>
      </w:tblGrid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24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Begin at 9:00 a.m.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60"/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60"/>
              <w:rPr>
                <w:b/>
              </w:rPr>
            </w:pPr>
            <w:r>
              <w:rPr>
                <w:b/>
              </w:rPr>
              <w:t>Review Settlement Proposal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1"/>
                <w:numId w:val="4"/>
              </w:numPr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Overview and Basic Terms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1"/>
                <w:numId w:val="4"/>
              </w:numPr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Transmission Services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1"/>
                <w:numId w:val="4"/>
              </w:numPr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Storage Services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5.</w:t>
              <w:tab/>
              <w:t>Core Procurement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6.3.</w:t>
              <w:tab/>
              <w:t>End-Use Customer Billing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bCs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Lunch from 12:00 to 1:30 p.m.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10.</w:t>
              <w:tab/>
              <w:t>Cost of Service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tabs>
                <w:tab w:val="clear" w:pos="720"/>
                <w:tab w:val="left" w:pos="1692" w:leader="none"/>
              </w:tabs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 xml:space="preserve">11.&amp; 12 </w:t>
              <w:tab/>
              <w:t>Rate Design and Rates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/>
            </w:pPr>
            <w:r>
              <w:rPr/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ind w:hanging="612" w:start="1062" w:end="0"/>
              <w:rPr>
                <w:b/>
              </w:rPr>
            </w:pPr>
            <w:r>
              <w:rPr>
                <w:b/>
              </w:rPr>
              <w:t>8.</w:t>
              <w:tab/>
              <w:t>Balancing Services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60"/>
              <w:rPr>
                <w:b/>
              </w:rPr>
            </w:pPr>
            <w:r>
              <w:rPr>
                <w:b/>
              </w:rPr>
              <w:t>Next Steps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Adjourn around 5:00 p.m.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</w:tbl>
    <w:p>
      <w:pPr>
        <w:pStyle w:val="Bullet3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008" w:right="1008" w:gutter="0" w:header="576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BernhardMod BT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Only</w:t>
    </w:r>
  </w:p>
  <w:p>
    <w:pPr>
      <w:pStyle w:val="Header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Pursuant To CPUC Rule 51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792"/>
        </w:tabs>
        <w:ind w:start="432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432" w:hanging="432"/>
      </w:pPr>
    </w:lvl>
    <w:lvl w:ilvl="1">
      <w:start w:val="1"/>
      <w:numFmt w:val="upperLetter"/>
      <w:lvlText w:val="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</w:lvl>
    <w:lvl w:ilvl="3">
      <w:start w:val="1"/>
      <w:numFmt w:val="lowerRoman"/>
      <w:lvlText w:val="%4."/>
      <w:lvlJc w:val="start"/>
      <w:pPr>
        <w:tabs>
          <w:tab w:val="num" w:pos="432"/>
        </w:tabs>
        <w:ind w:start="1728" w:hanging="432"/>
      </w:pPr>
    </w:lvl>
    <w:lvl w:ilvl="4">
      <w:start w:val="1"/>
      <w:numFmt w:val="decimal"/>
      <w:lvlText w:val=".%5"/>
      <w:lvlJc w:val="start"/>
      <w:pPr>
        <w:tabs>
          <w:tab w:val="num" w:pos="1008"/>
        </w:tabs>
        <w:ind w:start="2736" w:hanging="1008"/>
      </w:pPr>
    </w:lvl>
    <w:lvl w:ilvl="5">
      <w:start w:val="1"/>
      <w:numFmt w:val="decimal"/>
      <w:lvlText w:val=".%6"/>
      <w:lvlJc w:val="start"/>
      <w:pPr>
        <w:tabs>
          <w:tab w:val="num" w:pos="1152"/>
        </w:tabs>
        <w:ind w:start="3888" w:hanging="1152"/>
      </w:pPr>
    </w:lvl>
    <w:lvl w:ilvl="6">
      <w:start w:val="1"/>
      <w:numFmt w:val="decimal"/>
      <w:lvlText w:val=".%7"/>
      <w:lvlJc w:val="start"/>
      <w:pPr>
        <w:tabs>
          <w:tab w:val="num" w:pos="1296"/>
        </w:tabs>
        <w:ind w:start="5184" w:hanging="1296"/>
      </w:pPr>
    </w:lvl>
    <w:lvl w:ilvl="7">
      <w:start w:val="1"/>
      <w:numFmt w:val="decimal"/>
      <w:lvlText w:val=".%8"/>
      <w:lvlJc w:val="start"/>
      <w:pPr>
        <w:tabs>
          <w:tab w:val="num" w:pos="1440"/>
        </w:tabs>
        <w:ind w:start="6624" w:hanging="1440"/>
      </w:pPr>
    </w:lvl>
    <w:lvl w:ilvl="8">
      <w:start w:val="1"/>
      <w:numFmt w:val="decimal"/>
      <w:lvlText w:val=".%9"/>
      <w:lvlJc w:val="start"/>
      <w:pPr>
        <w:tabs>
          <w:tab w:val="num" w:pos="1584"/>
        </w:tabs>
        <w:ind w:start="8208" w:hanging="1584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1008"/>
        </w:tabs>
        <w:ind w:start="1008" w:hanging="576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before="240" w:after="0"/>
      <w:outlineLvl w:val="0"/>
    </w:pPr>
    <w:rPr>
      <w:rFonts w:ascii="Times New Roman Bold" w:hAnsi="Times New Roman Bold" w:cs="Times New Roman Bold"/>
      <w:b/>
      <w:caps/>
    </w:rPr>
  </w:style>
  <w:style w:type="paragraph" w:styleId="Heading2">
    <w:name w:val="heading 2"/>
    <w:basedOn w:val="Normal"/>
    <w:next w:val="Normal"/>
    <w:qFormat/>
    <w:pPr>
      <w:keepNext w:val="true"/>
      <w:spacing w:before="120" w:after="0"/>
      <w:jc w:val="center"/>
      <w:outlineLvl w:val="1"/>
    </w:pPr>
    <w:rPr>
      <w:rFonts w:ascii="Bookman Old Style" w:hAnsi="Bookman Old Style" w:cs="Bookman Old Style"/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spacing w:before="240" w:after="0"/>
      <w:jc w:val="center"/>
      <w:outlineLvl w:val="2"/>
    </w:pPr>
    <w:rPr>
      <w:rFonts w:ascii="Bookman Old Style" w:hAnsi="Bookman Old Style" w:cs="Bookman Old Style"/>
      <w:b/>
      <w:sz w:val="30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Georgia" w:hAnsi="Georgia" w:cs="Georgia"/>
      <w:b/>
      <w:sz w:val="2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bottom w:val="thickThinSmallGap" w:sz="12" w:space="1" w:color="000000"/>
      </w:pBdr>
      <w:spacing w:before="120" w:after="0"/>
      <w:jc w:val="center"/>
    </w:pPr>
    <w:rPr>
      <w:rFonts w:ascii="BernhardMod BT" w:hAnsi="BernhardMod BT" w:cs="BernhardMod BT"/>
      <w:b/>
      <w:i/>
      <w:sz w:val="30"/>
    </w:rPr>
  </w:style>
  <w:style w:type="paragraph" w:styleId="BodyText">
    <w:name w:val="Body Text"/>
    <w:basedOn w:val="Normal"/>
    <w:pPr>
      <w:spacing w:before="240" w:after="0"/>
      <w:jc w:val="center"/>
    </w:pPr>
    <w:rPr>
      <w:rFonts w:ascii="Bookman Old Style" w:hAnsi="Bookman Old Style" w:cs="Bookman Old Style"/>
      <w:b/>
      <w:i/>
      <w:sz w:val="3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1">
    <w:name w:val="Table Heading 1"/>
    <w:basedOn w:val="Normal"/>
    <w:qFormat/>
    <w:pPr>
      <w:keepNext w:val="true"/>
      <w:tabs>
        <w:tab w:val="clear" w:pos="720"/>
        <w:tab w:val="left" w:pos="4032" w:leader="none"/>
      </w:tabs>
      <w:spacing w:before="120" w:after="120"/>
      <w:jc w:val="center"/>
    </w:pPr>
    <w:rPr>
      <w:rFonts w:ascii="Times New Roman Bold" w:hAnsi="Times New Roman Bold" w:cs="Times New Roman Bold"/>
      <w:b/>
      <w:sz w:val="24"/>
    </w:rPr>
  </w:style>
  <w:style w:type="paragraph" w:styleId="Bullet1">
    <w:name w:val="Bullet 1"/>
    <w:basedOn w:val="Normal"/>
    <w:next w:val="BodyText1"/>
    <w:qFormat/>
    <w:pPr>
      <w:spacing w:before="120" w:after="0"/>
      <w:ind w:hanging="432" w:start="432" w:end="0"/>
    </w:pPr>
    <w:rPr/>
  </w:style>
  <w:style w:type="paragraph" w:styleId="Bullet2">
    <w:name w:val="Bullet 2"/>
    <w:basedOn w:val="Normal"/>
    <w:qFormat/>
    <w:pPr>
      <w:spacing w:before="120" w:after="0"/>
      <w:ind w:hanging="432" w:start="864" w:end="0"/>
    </w:pPr>
    <w:rPr>
      <w:sz w:val="24"/>
    </w:rPr>
  </w:style>
  <w:style w:type="paragraph" w:styleId="Bullet3">
    <w:name w:val="Bullet 3"/>
    <w:basedOn w:val="Normal"/>
    <w:qFormat/>
    <w:pPr/>
    <w:rPr>
      <w:sz w:val="26"/>
    </w:rPr>
  </w:style>
  <w:style w:type="paragraph" w:styleId="Indent1">
    <w:name w:val="Indent 1"/>
    <w:basedOn w:val="Normal"/>
    <w:qFormat/>
    <w:pPr>
      <w:ind w:hanging="0" w:start="432" w:end="0"/>
    </w:pPr>
    <w:rPr>
      <w:sz w:val="26"/>
    </w:rPr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0" w:start="1296" w:end="0"/>
    </w:pPr>
    <w:rPr>
      <w:sz w:val="26"/>
    </w:rPr>
  </w:style>
  <w:style w:type="paragraph" w:styleId="Bullet4">
    <w:name w:val="Bullet 4"/>
    <w:basedOn w:val="Normal"/>
    <w:qFormat/>
    <w:pPr/>
    <w:rPr>
      <w:sz w:val="26"/>
    </w:rPr>
  </w:style>
  <w:style w:type="paragraph" w:styleId="FootnoteText">
    <w:name w:val="footnote text"/>
    <w:basedOn w:val="Normal"/>
    <w:pPr>
      <w:ind w:hanging="288" w:start="288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ListNumber">
    <w:name w:val="List Number"/>
    <w:basedOn w:val="Normal"/>
    <w:qFormat/>
    <w:pPr>
      <w:numPr>
        <w:ilvl w:val="0"/>
        <w:numId w:val="7"/>
      </w:numPr>
      <w:ind w:hanging="432" w:start="432" w:end="0"/>
    </w:pPr>
    <w:rPr/>
  </w:style>
  <w:style w:type="paragraph" w:styleId="ListBullet">
    <w:name w:val="List Bullet"/>
    <w:basedOn w:val="Normal"/>
    <w:qFormat/>
    <w:pPr>
      <w:numPr>
        <w:ilvl w:val="0"/>
        <w:numId w:val="8"/>
      </w:numPr>
      <w:ind w:hanging="360" w:start="360" w:end="0"/>
    </w:pPr>
    <w:rPr/>
  </w:style>
  <w:style w:type="paragraph" w:styleId="AppendixHeading">
    <w:name w:val="Appendix Heading"/>
    <w:basedOn w:val="Normal"/>
    <w:qFormat/>
    <w:pPr>
      <w:spacing w:before="120" w:after="120"/>
      <w:jc w:val="center"/>
    </w:pPr>
    <w:rPr>
      <w:rFonts w:ascii="Times New Roman Bold" w:hAnsi="Times New Roman Bold" w:cs="Times New Roman Bold"/>
      <w:b/>
    </w:rPr>
  </w:style>
  <w:style w:type="paragraph" w:styleId="AppendixHeading1">
    <w:name w:val="Appendix Heading 1"/>
    <w:basedOn w:val="Normal"/>
    <w:next w:val="Normal"/>
    <w:qFormat/>
    <w:pPr>
      <w:numPr>
        <w:ilvl w:val="0"/>
        <w:numId w:val="2"/>
      </w:numPr>
      <w:spacing w:before="120" w:after="0"/>
    </w:pPr>
    <w:rPr>
      <w:b/>
      <w:sz w:val="24"/>
    </w:rPr>
  </w:style>
  <w:style w:type="paragraph" w:styleId="BodyText1">
    <w:name w:val="Body Text 1"/>
    <w:basedOn w:val="Normal"/>
    <w:qFormat/>
    <w:pPr>
      <w:spacing w:before="120" w:after="0"/>
      <w:ind w:hanging="0" w:start="432" w:end="0"/>
    </w:pPr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8630" w:leader="dot"/>
      </w:tabs>
      <w:spacing w:before="60" w:after="0"/>
      <w:ind w:hanging="432" w:start="432" w:end="0"/>
    </w:pPr>
    <w:rPr>
      <w:caps/>
    </w:rPr>
  </w:style>
  <w:style w:type="paragraph" w:styleId="TOC2">
    <w:name w:val="toc 2"/>
    <w:basedOn w:val="Normal"/>
    <w:next w:val="Normal"/>
    <w:pPr>
      <w:ind w:hanging="432" w:start="864" w:end="0"/>
    </w:pPr>
    <w:rPr/>
  </w:style>
  <w:style w:type="paragraph" w:styleId="OutlineBullet1">
    <w:name w:val="Outline Bullet 1"/>
    <w:basedOn w:val="Normal"/>
    <w:next w:val="BodyText1"/>
    <w:qFormat/>
    <w:pPr>
      <w:numPr>
        <w:ilvl w:val="0"/>
        <w:numId w:val="3"/>
      </w:numPr>
      <w:spacing w:before="180" w:after="0"/>
    </w:pPr>
    <w:rPr>
      <w:rFonts w:ascii="Times New Roman Bold" w:hAnsi="Times New Roman Bold" w:cs="Times New Roman Bold"/>
      <w:b/>
    </w:rPr>
  </w:style>
  <w:style w:type="paragraph" w:styleId="BodyText2">
    <w:name w:val="Body Text 2"/>
    <w:basedOn w:val="Normal"/>
    <w:qFormat/>
    <w:pPr>
      <w:spacing w:before="60" w:after="0"/>
      <w:ind w:hanging="0" w:start="864" w:end="0"/>
    </w:pPr>
    <w:rPr>
      <w:sz w:val="24"/>
    </w:rPr>
  </w:style>
  <w:style w:type="paragraph" w:styleId="BodyText3">
    <w:name w:val="Body Text 3"/>
    <w:basedOn w:val="Normal"/>
    <w:qFormat/>
    <w:pPr>
      <w:spacing w:before="60" w:after="0"/>
      <w:ind w:hanging="0" w:start="1296" w:end="0"/>
    </w:pPr>
    <w:rPr>
      <w:sz w:val="22"/>
    </w:rPr>
  </w:style>
  <w:style w:type="paragraph" w:styleId="BodyText4">
    <w:name w:val="Body Text 4"/>
    <w:basedOn w:val="Normal"/>
    <w:qFormat/>
    <w:pPr>
      <w:spacing w:before="60" w:after="0"/>
      <w:ind w:hanging="0" w:start="1728" w:end="0"/>
    </w:pPr>
    <w:rPr>
      <w:sz w:val="22"/>
    </w:rPr>
  </w:style>
  <w:style w:type="paragraph" w:styleId="OutlineBullet2">
    <w:name w:val="Outline Bullet 2"/>
    <w:basedOn w:val="Normal"/>
    <w:next w:val="BodyText2"/>
    <w:qFormat/>
    <w:pPr>
      <w:numPr>
        <w:ilvl w:val="0"/>
        <w:numId w:val="3"/>
      </w:numPr>
      <w:spacing w:before="120" w:after="0"/>
    </w:pPr>
    <w:rPr>
      <w:sz w:val="24"/>
    </w:rPr>
  </w:style>
  <w:style w:type="paragraph" w:styleId="GAIIBulletList0">
    <w:name w:val="GAII Bullet List 0"/>
    <w:basedOn w:val="Normal"/>
    <w:next w:val="GAIIBulletList1"/>
    <w:qFormat/>
    <w:pPr>
      <w:spacing w:before="240" w:after="0"/>
    </w:pPr>
    <w:rPr>
      <w:rFonts w:ascii="Times New Roman Bold" w:hAnsi="Times New Roman Bold" w:cs="Times New Roman Bold"/>
      <w:b/>
      <w:caps/>
      <w:sz w:val="28"/>
    </w:rPr>
  </w:style>
  <w:style w:type="paragraph" w:styleId="GAIIBulletList1">
    <w:name w:val="GAII Bullet List 1"/>
    <w:basedOn w:val="Normal"/>
    <w:next w:val="GAIIBulletList2"/>
    <w:qFormat/>
    <w:pPr>
      <w:numPr>
        <w:ilvl w:val="0"/>
        <w:numId w:val="6"/>
      </w:numPr>
      <w:spacing w:before="120" w:after="0"/>
    </w:pPr>
    <w:rPr>
      <w:rFonts w:ascii="Times New Roman Bold" w:hAnsi="Times New Roman Bold" w:cs="Times New Roman Bold"/>
      <w:b/>
    </w:rPr>
  </w:style>
  <w:style w:type="paragraph" w:styleId="GAIIBodyText0">
    <w:name w:val="GAII Body Text 0"/>
    <w:basedOn w:val="Normal"/>
    <w:qFormat/>
    <w:pPr>
      <w:spacing w:before="120" w:after="0"/>
    </w:pPr>
    <w:rPr/>
  </w:style>
  <w:style w:type="paragraph" w:styleId="GAIIBodyText1">
    <w:name w:val="GAII Body Text 1"/>
    <w:basedOn w:val="Normal"/>
    <w:qFormat/>
    <w:pPr>
      <w:spacing w:before="60" w:after="0"/>
      <w:ind w:hanging="0" w:start="432" w:end="0"/>
    </w:pPr>
    <w:rPr/>
  </w:style>
  <w:style w:type="paragraph" w:styleId="GAIIBulletList2">
    <w:name w:val="GAII Bullet List 2"/>
    <w:basedOn w:val="Normal"/>
    <w:next w:val="Normal"/>
    <w:qFormat/>
    <w:pPr>
      <w:numPr>
        <w:ilvl w:val="0"/>
        <w:numId w:val="5"/>
      </w:numPr>
      <w:tabs>
        <w:tab w:val="clear" w:pos="720"/>
        <w:tab w:val="left" w:pos="1728" w:leader="none"/>
      </w:tabs>
      <w:spacing w:before="60" w:after="0"/>
    </w:pPr>
    <w:rPr>
      <w:sz w:val="24"/>
    </w:rPr>
  </w:style>
  <w:style w:type="paragraph" w:styleId="GABulletList3">
    <w:name w:val="GA Bullet List 3"/>
    <w:basedOn w:val="Normal"/>
    <w:next w:val="Normal"/>
    <w:qFormat/>
    <w:pPr>
      <w:tabs>
        <w:tab w:val="clear" w:pos="720"/>
        <w:tab w:val="left" w:pos="1728" w:leader="none"/>
      </w:tabs>
      <w:spacing w:before="60" w:after="0"/>
      <w:ind w:hanging="0" w:start="0" w:end="432"/>
    </w:pPr>
    <w:rPr>
      <w:sz w:val="24"/>
    </w:rPr>
  </w:style>
  <w:style w:type="paragraph" w:styleId="GAIIBulletList3">
    <w:name w:val="GAII Bullet List 3"/>
    <w:basedOn w:val="Normal"/>
    <w:qFormat/>
    <w:pPr>
      <w:numPr>
        <w:ilvl w:val="0"/>
        <w:numId w:val="6"/>
      </w:numPr>
      <w:tabs>
        <w:tab w:val="clear" w:pos="720"/>
        <w:tab w:val="left" w:pos="1728" w:leader="none"/>
        <w:tab w:val="left" w:pos="2160" w:leader="none"/>
      </w:tabs>
      <w:spacing w:before="60" w:after="0"/>
      <w:ind w:hanging="0" w:start="0" w:end="432"/>
    </w:pPr>
    <w:rPr>
      <w:sz w:val="24"/>
    </w:rPr>
  </w:style>
  <w:style w:type="paragraph" w:styleId="GAIIBulletList4">
    <w:name w:val="GAII Bullet List 4"/>
    <w:basedOn w:val="Normal"/>
    <w:qFormat/>
    <w:pPr>
      <w:numPr>
        <w:ilvl w:val="0"/>
        <w:numId w:val="6"/>
      </w:numPr>
    </w:pPr>
    <w:rPr>
      <w:sz w:val="24"/>
    </w:rPr>
  </w:style>
  <w:style w:type="paragraph" w:styleId="GAIIBulletList5">
    <w:name w:val="GAII Bullet List 5"/>
    <w:basedOn w:val="Normal"/>
    <w:qFormat/>
    <w:pPr>
      <w:numPr>
        <w:ilvl w:val="0"/>
        <w:numId w:val="6"/>
      </w:numPr>
      <w:ind w:hanging="0" w:start="0" w:end="432"/>
    </w:pPr>
    <w:rPr>
      <w:sz w:val="24"/>
    </w:rPr>
  </w:style>
  <w:style w:type="paragraph" w:styleId="Bullet1-Memo">
    <w:name w:val="Bullet 1 - Memo"/>
    <w:basedOn w:val="Normal"/>
    <w:qFormat/>
    <w:pPr>
      <w:ind w:hanging="432" w:start="432" w:end="0"/>
    </w:pPr>
    <w:rPr>
      <w:sz w:val="28"/>
    </w:rPr>
  </w:style>
  <w:style w:type="paragraph" w:styleId="Indent1-Memo">
    <w:name w:val="Indent 1 - Memo"/>
    <w:basedOn w:val="Bullet1-Memo"/>
    <w:qFormat/>
    <w:pPr>
      <w:ind w:hanging="0" w:start="432" w:end="0"/>
    </w:pPr>
    <w:rPr/>
  </w:style>
  <w:style w:type="paragraph" w:styleId="Indent2-Memo">
    <w:name w:val="Indent 2 - Memo"/>
    <w:basedOn w:val="Normal"/>
    <w:qFormat/>
    <w:pPr>
      <w:ind w:hanging="0" w:start="864" w:end="432"/>
    </w:pPr>
    <w:rPr>
      <w:sz w:val="2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2001-01-26T19:45:00Z</dcterms:created>
  <dc:creator>Geoffrey Bellenger</dc:creator>
  <dc:description/>
  <dc:language>en-CA</dc:language>
  <cp:lastModifiedBy>A PG&amp;E Employee</cp:lastModifiedBy>
  <cp:lastPrinted>2001-01-26T13:29:00Z</cp:lastPrinted>
  <dcterms:modified xsi:type="dcterms:W3CDTF">2001-01-26T19:46:00Z</dcterms:modified>
  <cp:revision>4</cp:revision>
  <dc:subject/>
  <dc:title>Gas Accord II Settlement</dc:title>
</cp:coreProperties>
</file>