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Black" w:hAnsi="Arial Black" w:cs="Arial Black"/>
          <w:sz w:val="22"/>
        </w:rPr>
      </w:pPr>
      <w:r>
        <w:rPr>
          <w:rFonts w:cs="Arial Black" w:ascii="Arial Black" w:hAnsi="Arial Black"/>
          <w:sz w:val="28"/>
        </w:rPr>
        <w:t>Forecasting Challenges in Electricity Markets</w:t>
        <w:br/>
      </w:r>
    </w:p>
    <w:p>
      <w:pPr>
        <w:pStyle w:val="Normal"/>
        <w:rPr>
          <w:rFonts w:ascii="Arial Black" w:hAnsi="Arial Black" w:cs="Arial Black"/>
          <w:sz w:val="22"/>
        </w:rPr>
      </w:pPr>
      <w:r>
        <w:rPr>
          <w:rFonts w:cs="Arial Black" w:ascii="Arial Black" w:hAnsi="Arial Black"/>
          <w:sz w:val="22"/>
        </w:rPr>
        <w:t>2001 Electric Market Forecasting Conference</w:t>
      </w:r>
    </w:p>
    <w:p>
      <w:pPr>
        <w:pStyle w:val="Normal"/>
        <w:tabs>
          <w:tab w:val="clear" w:pos="720"/>
          <w:tab w:val="left" w:pos="2880" w:leader="none"/>
          <w:tab w:val="left" w:pos="3240" w:leader="none"/>
        </w:tabs>
        <w:rPr/>
      </w:pPr>
      <w:r>
        <w:rPr>
          <w:sz w:val="22"/>
        </w:rPr>
        <w:t>Skamania Lodge, Washington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ab/>
        <w:t xml:space="preserve">September 12-14, 2001 </w:t>
      </w:r>
    </w:p>
    <w:p>
      <w:pPr>
        <w:pStyle w:val="BodyText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sectPr>
          <w:type w:val="nextPage"/>
          <w:pgSz w:w="12240" w:h="15840"/>
          <w:pgMar w:left="1440" w:right="1440" w:gutter="0" w:header="0" w:top="1080" w:footer="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6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182880</wp:posOffset>
            </wp:positionH>
            <wp:positionV relativeFrom="paragraph">
              <wp:posOffset>74930</wp:posOffset>
            </wp:positionV>
            <wp:extent cx="2463800" cy="255905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</w:rPr>
        <w:t>Today’s electricity markets are more challenging to predict than ever. Discover the keys to managing risk in volatile energy markets.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BodyText3"/>
        <w:rPr>
          <w:sz w:val="26"/>
        </w:rPr>
      </w:pPr>
      <w:r>
        <w:rPr>
          <w:sz w:val="26"/>
        </w:rPr>
        <w:t xml:space="preserve">The conference venue is the beautiful Skamania Lodge in the scenic Columbia River Gorge--45 minutes East of Portland International Airport, Portland, Oregon.  A mind expanding setting for an executive-and professional level exchange of information and strategies concerning North American energy markets. 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1440" w:right="1440" w:gutter="0" w:header="0" w:top="1080" w:footer="0" w:bottom="108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2880" w:leader="none"/>
        </w:tabs>
        <w:rPr>
          <w:rFonts w:ascii="Arial Black" w:hAnsi="Arial Black" w:cs="Arial Black"/>
          <w:sz w:val="22"/>
        </w:rPr>
      </w:pPr>
      <w:r>
        <w:rPr>
          <w:rFonts w:cs="Arial Black" w:ascii="Arial Black" w:hAnsi="Arial Black"/>
          <w:sz w:val="22"/>
        </w:rPr>
      </w:r>
    </w:p>
    <w:p>
      <w:pPr>
        <w:pStyle w:val="Heading1"/>
        <w:ind w:hanging="0" w:start="0"/>
        <w:rPr>
          <w:color w:val="000080"/>
          <w:sz w:val="32"/>
        </w:rPr>
      </w:pPr>
      <w:r>
        <w:rPr>
          <w:color w:val="000080"/>
          <w:sz w:val="32"/>
        </w:rPr>
        <w:t>The Conference Agenda</w:t>
      </w:r>
    </w:p>
    <w:p>
      <w:pPr>
        <w:pStyle w:val="Heading1"/>
        <w:ind w:hanging="0" w:start="0"/>
        <w:rPr>
          <w:color w:val="000080"/>
          <w:sz w:val="32"/>
        </w:rPr>
      </w:pPr>
      <w:r>
        <w:rPr>
          <w:color w:val="000080"/>
          <w:sz w:val="32"/>
        </w:rPr>
      </w:r>
    </w:p>
    <w:p>
      <w:pPr>
        <w:pStyle w:val="Heading1"/>
        <w:tabs>
          <w:tab w:val="clear" w:pos="720"/>
          <w:tab w:val="left" w:pos="2880" w:leader="none"/>
        </w:tabs>
        <w:ind w:hanging="0" w:start="0"/>
        <w:rPr>
          <w:b/>
          <w:u w:val="none"/>
        </w:rPr>
      </w:pPr>
      <w:r>
        <w:rPr>
          <w:b/>
          <w:u w:val="none"/>
        </w:rPr>
        <w:t>Wednesday, September 12</w:t>
        <w:tab/>
        <w:t xml:space="preserve">Conference Kick-off Event starting at 6:00 p.m. </w:t>
      </w:r>
    </w:p>
    <w:p>
      <w:pPr>
        <w:pStyle w:val="Normal"/>
        <w:tabs>
          <w:tab w:val="clear" w:pos="720"/>
          <w:tab w:val="left" w:pos="2880" w:leader="none"/>
        </w:tabs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</w:rPr>
        <w:tab/>
      </w:r>
      <w:r>
        <w:rPr>
          <w:i/>
          <w:sz w:val="22"/>
        </w:rPr>
        <w:t>An Evening at the Columbia Gorge Interpretive Center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>
          <w:sz w:val="22"/>
        </w:rPr>
        <w:t>Complimentary Dinner for</w:t>
      </w:r>
      <w:r>
        <w:rPr>
          <w:i/>
          <w:sz w:val="22"/>
        </w:rPr>
        <w:t xml:space="preserve"> </w:t>
      </w:r>
      <w:r>
        <w:rPr>
          <w:sz w:val="22"/>
        </w:rPr>
        <w:t>Attendees and Spouses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tabs>
          <w:tab w:val="clear" w:pos="720"/>
          <w:tab w:val="left" w:pos="2880" w:leader="none"/>
        </w:tabs>
        <w:ind w:start="2880" w:end="0"/>
        <w:rPr>
          <w:sz w:val="22"/>
        </w:rPr>
      </w:pPr>
      <w:r>
        <w:rPr>
          <w:sz w:val="22"/>
        </w:rPr>
        <w:t>An evening for attendees and their guest at the Columbia Gorge Interpretive Center. Dinner, music and private viewing of an exceptional museum in the heart of the Columbia River Gorge.</w:t>
      </w:r>
    </w:p>
    <w:p>
      <w:pPr>
        <w:pStyle w:val="Normal"/>
        <w:tabs>
          <w:tab w:val="clear" w:pos="720"/>
          <w:tab w:val="left" w:pos="2880" w:leader="none"/>
        </w:tabs>
        <w:ind w:start="2880" w:end="0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Heading1"/>
        <w:tabs>
          <w:tab w:val="clear" w:pos="720"/>
          <w:tab w:val="left" w:pos="2880" w:leader="none"/>
        </w:tabs>
        <w:ind w:hanging="0" w:start="0"/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Heading1"/>
        <w:tabs>
          <w:tab w:val="clear" w:pos="720"/>
          <w:tab w:val="left" w:pos="2880" w:leader="none"/>
        </w:tabs>
        <w:ind w:hanging="0" w:start="0"/>
        <w:rPr>
          <w:b/>
          <w:u w:val="none"/>
        </w:rPr>
      </w:pPr>
      <w:r>
        <w:rPr>
          <w:b/>
          <w:u w:val="none"/>
        </w:rPr>
        <w:t>Thursday, September 13</w:t>
        <w:tab/>
        <w:t>Electric Market Forum</w:t>
      </w:r>
      <w:r>
        <w:rPr>
          <w:u w:val="none"/>
        </w:rPr>
        <w:t xml:space="preserve"> (all day)</w:t>
      </w:r>
    </w:p>
    <w:p>
      <w:pPr>
        <w:pStyle w:val="Normal"/>
        <w:tabs>
          <w:tab w:val="clear" w:pos="720"/>
          <w:tab w:val="left" w:pos="2880" w:leader="none"/>
        </w:tabs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</w:rPr>
        <w:tab/>
      </w:r>
      <w:r>
        <w:rPr>
          <w:i/>
          <w:sz w:val="22"/>
        </w:rPr>
        <w:t>U.S. Electric and Gas Forward Markets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>
          <w:sz w:val="22"/>
        </w:rPr>
        <w:t>Brad Leach, Senior Director of Research (invited)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New York Mercantile Exchange</w:t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i/>
          <w:sz w:val="22"/>
        </w:rPr>
        <w:tab/>
        <w:t>Western Canadian Markets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Paul Blaha, Manager, Power Marketing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ATCO</w:t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  <w:tab/>
        <w:t>Eastern U.S. Markets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>
          <w:sz w:val="22"/>
        </w:rPr>
        <w:t>Brian Skinner, Director, Market Analysis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Williams Energy Market &amp; Trade</w:t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  <w:tab/>
        <w:t>Luncheon Presentation – The Historic Columbia River Gorge</w:t>
      </w:r>
    </w:p>
    <w:p>
      <w:pPr>
        <w:pStyle w:val="Normal"/>
        <w:tabs>
          <w:tab w:val="clear" w:pos="720"/>
          <w:tab w:val="left" w:pos="2880" w:leader="none"/>
        </w:tabs>
        <w:ind w:start="2880" w:end="0"/>
        <w:rPr>
          <w:b/>
          <w:sz w:val="22"/>
        </w:rPr>
      </w:pPr>
      <w:r>
        <w:rPr>
          <w:sz w:val="22"/>
        </w:rPr>
        <w:t xml:space="preserve">Charlie Grist, </w:t>
      </w:r>
      <w:r>
        <w:rPr>
          <w:sz w:val="22"/>
          <w:lang w:eastAsia="en-US"/>
        </w:rPr>
        <w:t>Energy Policy Analyst</w:t>
      </w:r>
    </w:p>
    <w:p>
      <w:pPr>
        <w:pStyle w:val="Normal"/>
        <w:tabs>
          <w:tab w:val="clear" w:pos="720"/>
          <w:tab w:val="left" w:pos="2880" w:leader="none"/>
        </w:tabs>
        <w:ind w:start="2880" w:end="0"/>
        <w:rPr>
          <w:sz w:val="22"/>
        </w:rPr>
      </w:pPr>
      <w:r>
        <w:rPr>
          <w:sz w:val="22"/>
        </w:rPr>
        <w:t>Oregon Department of Energy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</w:rPr>
        <w:tab/>
      </w:r>
      <w:r>
        <w:rPr>
          <w:i/>
          <w:sz w:val="22"/>
        </w:rPr>
        <w:t>Midwestern U.S. Markets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>
          <w:sz w:val="22"/>
        </w:rPr>
        <w:t>Chester Bolling, Director, Regulatory Strategies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DTE Energy</w:t>
      </w:r>
    </w:p>
    <w:p>
      <w:pPr>
        <w:pStyle w:val="Normal"/>
        <w:tabs>
          <w:tab w:val="clear" w:pos="720"/>
          <w:tab w:val="left" w:pos="2880" w:leader="none"/>
        </w:tabs>
        <w:rPr>
          <w:i/>
          <w:i/>
          <w:sz w:val="22"/>
        </w:rPr>
      </w:pPr>
      <w:r>
        <w:rPr>
          <w:i/>
          <w:sz w:val="22"/>
        </w:rPr>
        <w:tab/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/>
        <w:t>Risk Strategies in Volatile Energy Markets, e.g., Western Markets</w:t>
      </w:r>
    </w:p>
    <w:p>
      <w:pPr>
        <w:pStyle w:val="Normal"/>
        <w:ind w:start="2160" w:end="0"/>
        <w:rPr/>
      </w:pPr>
      <w:r>
        <w:rPr/>
        <w:tab/>
      </w:r>
      <w:r>
        <w:rPr>
          <w:sz w:val="22"/>
          <w:lang w:eastAsia="en-US"/>
        </w:rPr>
        <w:t>Vince Kaminski, Vice President</w:t>
      </w:r>
    </w:p>
    <w:p>
      <w:pPr>
        <w:pStyle w:val="Normal"/>
        <w:ind w:start="2880" w:end="0"/>
        <w:rPr>
          <w:sz w:val="22"/>
          <w:lang w:eastAsia="en-US"/>
        </w:rPr>
      </w:pPr>
      <w:r>
        <w:rPr>
          <w:sz w:val="22"/>
          <w:lang w:eastAsia="en-US"/>
        </w:rPr>
        <w:t>ENRON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</w:rPr>
        <w:tab/>
      </w:r>
      <w:r>
        <w:rPr>
          <w:i/>
          <w:sz w:val="22"/>
        </w:rPr>
        <w:t>Gas and Oil Hedging and Electric Markets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i/>
          <w:sz w:val="22"/>
        </w:rPr>
        <w:tab/>
      </w:r>
      <w:r>
        <w:rPr>
          <w:sz w:val="22"/>
        </w:rPr>
        <w:t>William Foley, Director, Global Commodities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Deutsche Bank (New York)</w:t>
      </w:r>
    </w:p>
    <w:p>
      <w:pPr>
        <w:pStyle w:val="Heading3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ERCOT Market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John Scott, Market Consultant (invited)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  <w:t>FPL Energy</w:t>
      </w:r>
    </w:p>
    <w:p>
      <w:pPr>
        <w:pStyle w:val="Normal"/>
        <w:tabs>
          <w:tab w:val="clear" w:pos="720"/>
          <w:tab w:val="left" w:pos="288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2880" w:leader="none"/>
        </w:tabs>
        <w:ind w:hanging="2880" w:start="2880" w:end="0"/>
        <w:rPr>
          <w:sz w:val="24"/>
        </w:rPr>
      </w:pPr>
      <w:r>
        <w:rPr>
          <w:i/>
          <w:sz w:val="22"/>
        </w:rPr>
        <w:tab/>
        <w:t xml:space="preserve">Golf Scramble at Skamania Golf Course </w:t>
      </w:r>
      <w:r>
        <w:rPr>
          <w:sz w:val="22"/>
        </w:rPr>
        <w:t>(afternoon)</w:t>
        <w:br/>
        <w:t>Attendees and Spouses (complimentary)</w:t>
      </w:r>
    </w:p>
    <w:p>
      <w:pPr>
        <w:pStyle w:val="Normal"/>
        <w:tabs>
          <w:tab w:val="clear" w:pos="720"/>
          <w:tab w:val="left" w:pos="2880" w:leader="none"/>
        </w:tabs>
        <w:rPr>
          <w:sz w:val="24"/>
        </w:rPr>
      </w:pPr>
      <w:r>
        <w:rPr>
          <w:sz w:val="24"/>
        </w:rPr>
      </w:r>
    </w:p>
    <w:p>
      <w:pPr>
        <w:pStyle w:val="BodyText2"/>
        <w:tabs>
          <w:tab w:val="clear" w:pos="2160"/>
          <w:tab w:val="left" w:pos="2880" w:leader="none"/>
        </w:tabs>
        <w:rPr/>
      </w:pPr>
      <w:r>
        <w:rPr>
          <w:b/>
          <w:u w:val="none"/>
        </w:rPr>
        <w:t>Friday, September 14</w:t>
        <w:tab/>
        <w:t xml:space="preserve">Applied Market Forecasting </w:t>
      </w:r>
      <w:r>
        <w:rPr>
          <w:u w:val="none"/>
        </w:rPr>
        <w:t>(morning)</w:t>
      </w:r>
    </w:p>
    <w:p>
      <w:pPr>
        <w:pStyle w:val="BodyText2"/>
        <w:tabs>
          <w:tab w:val="clear" w:pos="2160"/>
          <w:tab w:val="left" w:pos="2880" w:leader="none"/>
        </w:tabs>
        <w:rPr>
          <w:i/>
          <w:i/>
          <w:u w:val="none"/>
        </w:rPr>
      </w:pPr>
      <w:r>
        <w:rPr>
          <w:i/>
          <w:u w:val="none"/>
        </w:rPr>
      </w:r>
    </w:p>
    <w:p>
      <w:pPr>
        <w:pStyle w:val="BodyText2"/>
        <w:tabs>
          <w:tab w:val="clear" w:pos="2160"/>
          <w:tab w:val="left" w:pos="2880" w:leader="none"/>
        </w:tabs>
        <w:rPr>
          <w:i/>
          <w:i/>
          <w:u w:val="none"/>
        </w:rPr>
      </w:pPr>
      <w:r>
        <w:rPr>
          <w:i/>
          <w:u w:val="none"/>
        </w:rPr>
        <w:t>Data Sources for Modeling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Sara Bishop, Market Analyst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Williams Energy Marketing &amp; Trade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</w:r>
    </w:p>
    <w:p>
      <w:pPr>
        <w:pStyle w:val="BodyText2"/>
        <w:tabs>
          <w:tab w:val="clear" w:pos="2160"/>
          <w:tab w:val="left" w:pos="2880" w:leader="none"/>
        </w:tabs>
        <w:rPr/>
      </w:pPr>
      <w:r>
        <w:rPr>
          <w:u w:val="none"/>
        </w:rPr>
        <w:tab/>
      </w:r>
      <w:r>
        <w:rPr>
          <w:i/>
          <w:u w:val="none"/>
        </w:rPr>
        <w:t>Electric Market Modeling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Chris Mitchell, Senior Research Analyst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Southern California Edison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</w:r>
    </w:p>
    <w:p>
      <w:pPr>
        <w:pStyle w:val="BodyText2"/>
        <w:tabs>
          <w:tab w:val="clear" w:pos="2160"/>
          <w:tab w:val="left" w:pos="2880" w:leader="none"/>
        </w:tabs>
        <w:rPr/>
      </w:pPr>
      <w:r>
        <w:rPr>
          <w:u w:val="none"/>
        </w:rPr>
        <w:tab/>
      </w:r>
      <w:r>
        <w:rPr>
          <w:i/>
          <w:u w:val="none"/>
        </w:rPr>
        <w:t>Modeling New Resource Development</w:t>
      </w:r>
    </w:p>
    <w:p>
      <w:pPr>
        <w:pStyle w:val="BodyText2"/>
        <w:tabs>
          <w:tab w:val="clear" w:pos="2160"/>
          <w:tab w:val="left" w:pos="2880" w:leader="none"/>
        </w:tabs>
        <w:rPr/>
      </w:pPr>
      <w:r>
        <w:rPr>
          <w:i/>
          <w:u w:val="none"/>
        </w:rPr>
        <w:tab/>
      </w:r>
      <w:r>
        <w:rPr>
          <w:u w:val="none"/>
        </w:rPr>
        <w:t>Jim Letzelter, President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GenerSys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</w:r>
      <w:r>
        <w:rPr>
          <w:i/>
          <w:u w:val="none"/>
        </w:rPr>
        <w:t>Modeling Volume and Price Volatility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Ned Lesnick, Senior Trading Floor Analyst</w:t>
      </w:r>
    </w:p>
    <w:p>
      <w:pPr>
        <w:pStyle w:val="BodyText2"/>
        <w:tabs>
          <w:tab w:val="clear" w:pos="2160"/>
          <w:tab w:val="left" w:pos="2880" w:leader="none"/>
        </w:tabs>
        <w:rPr>
          <w:u w:val="none"/>
        </w:rPr>
      </w:pPr>
      <w:r>
        <w:rPr>
          <w:u w:val="none"/>
        </w:rPr>
        <w:tab/>
        <w:t>Pinnacle West</w:t>
      </w:r>
    </w:p>
    <w:p>
      <w:pPr>
        <w:pStyle w:val="BodyText"/>
        <w:rPr>
          <w:u w:val="none"/>
        </w:rPr>
      </w:pPr>
      <w:r>
        <w:rPr>
          <w:u w:val="none"/>
        </w:rPr>
      </w:r>
    </w:p>
    <w:p>
      <w:pPr>
        <w:pStyle w:val="BodyText"/>
        <w:rPr/>
      </w:pPr>
      <w:r>
        <w:rPr/>
        <w:t>Once again we’ve included – at no additional cost – a pre-conference workshop on energy market modeling (both introductory and advanced levels).</w:t>
      </w:r>
    </w:p>
    <w:p>
      <w:pPr>
        <w:pStyle w:val="BodyText"/>
        <w:rPr/>
      </w:pPr>
      <w:r>
        <w:rPr/>
      </w:r>
    </w:p>
    <w:p>
      <w:pPr>
        <w:pStyle w:val="Heading1"/>
        <w:tabs>
          <w:tab w:val="clear" w:pos="720"/>
          <w:tab w:val="left" w:pos="2880" w:leader="none"/>
        </w:tabs>
        <w:ind w:hanging="0" w:start="0"/>
        <w:rPr>
          <w:b/>
          <w:color w:val="000080"/>
        </w:rPr>
      </w:pPr>
      <w:r>
        <w:rPr>
          <w:b/>
          <w:color w:val="000080"/>
        </w:rPr>
        <w:t>Pre-Conference Workshop</w:t>
      </w:r>
    </w:p>
    <w:p>
      <w:pPr>
        <w:pStyle w:val="Normal"/>
        <w:rPr>
          <w:b/>
          <w:color w:val="000080"/>
        </w:rPr>
      </w:pPr>
      <w:r>
        <w:rPr>
          <w:b/>
          <w:color w:val="000080"/>
        </w:rPr>
      </w:r>
    </w:p>
    <w:p>
      <w:pPr>
        <w:pStyle w:val="Normal"/>
        <w:rPr>
          <w:b/>
        </w:rPr>
      </w:pPr>
      <w:r>
        <w:rPr>
          <w:b/>
        </w:rPr>
        <w:t>Wednesday, September 12</w:t>
        <w:tab/>
        <w:t>Half day starting at 1:00 p.m.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2880" w:end="0"/>
        <w:rPr>
          <w:i/>
          <w:i/>
          <w:sz w:val="22"/>
        </w:rPr>
      </w:pPr>
      <w:r>
        <w:rPr>
          <w:i/>
          <w:sz w:val="22"/>
        </w:rPr>
        <w:t>Energy Market Modeling, Advanced and Introductory</w:t>
      </w:r>
    </w:p>
    <w:p>
      <w:pPr>
        <w:pStyle w:val="Normal"/>
        <w:ind w:hanging="2880" w:start="2880" w:end="0"/>
        <w:rPr>
          <w:sz w:val="22"/>
        </w:rPr>
      </w:pPr>
      <w:r>
        <w:rPr>
          <w:sz w:val="22"/>
        </w:rPr>
        <w:tab/>
        <w:t>EPIS, Inc.</w:t>
      </w:r>
    </w:p>
    <w:p>
      <w:pPr>
        <w:pStyle w:val="Normal"/>
        <w:ind w:hanging="2880" w:start="2880" w:end="0"/>
        <w:rPr>
          <w:sz w:val="22"/>
        </w:rPr>
      </w:pPr>
      <w:r>
        <w:rPr>
          <w:sz w:val="22"/>
        </w:rPr>
      </w:r>
    </w:p>
    <w:p>
      <w:pPr>
        <w:pStyle w:val="BodyText"/>
        <w:ind w:start="2880" w:end="0"/>
        <w:rPr/>
      </w:pPr>
      <w:r>
        <w:rPr/>
        <w:t>Advanced and introductory sessions on energy market modeling, including short- and long-term price forecasting based on fundamental market drivers. Workshop also addresses capacity expansion, portfolio analysis, emissions effects and more.</w:t>
      </w:r>
      <w:r>
        <w:rPr>
          <w:b/>
          <w:color w:val="FF0000"/>
        </w:rPr>
        <w:t xml:space="preserve">  </w:t>
      </w:r>
      <w:r>
        <w:rPr/>
        <w:t>Cost: Included in conference registration fee.</w:t>
      </w:r>
    </w:p>
    <w:p>
      <w:pPr>
        <w:pStyle w:val="BodyTex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Accommodations</w:t>
      </w:r>
    </w:p>
    <w:p>
      <w:pPr>
        <w:sectPr>
          <w:type w:val="continuous"/>
          <w:pgSz w:w="12240" w:h="15840"/>
          <w:pgMar w:left="1440" w:right="1440" w:gutter="0" w:header="0" w:top="1080" w:footer="0" w:bottom="1080"/>
          <w:formProt w:val="false"/>
          <w:textDirection w:val="lrTb"/>
          <w:docGrid w:type="default" w:linePitch="360" w:charSpace="0"/>
        </w:sectPr>
      </w:pPr>
    </w:p>
    <w:p>
      <w:pPr>
        <w:pStyle w:val="BodyText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2011680</wp:posOffset>
            </wp:positionH>
            <wp:positionV relativeFrom="paragraph">
              <wp:posOffset>40005</wp:posOffset>
            </wp:positionV>
            <wp:extent cx="1840230" cy="222377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2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Make your own reservations at Skamania Lodge. To reserve a room, call 1-800-221-7117. Mention “EPIS Conference” to get the block room rate. For suggestions on other accommodations, please call EPIS at (503) 722-2023 x201.</w:t>
      </w:r>
    </w:p>
    <w:p>
      <w:pPr>
        <w:pStyle w:val="PlainText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sectPr>
          <w:type w:val="continuous"/>
          <w:pgSz w:w="12240" w:h="15840"/>
          <w:pgMar w:left="1440" w:right="1440" w:gutter="0" w:header="0" w:top="1080" w:footer="0" w:bottom="1080"/>
          <w:cols w:num="2" w:equalWidth="false" w:sep="false">
            <w:col w:w="2640" w:space="720"/>
            <w:col w:w="6000"/>
          </w:cols>
          <w:formProt w:val="false"/>
          <w:textDirection w:val="lrTb"/>
          <w:docGrid w:type="default" w:linePitch="360" w:charSpace="0"/>
        </w:sectPr>
      </w:pPr>
    </w:p>
    <w:p>
      <w:pPr>
        <w:pStyle w:val="PlainText"/>
        <w:rPr>
          <w:rFonts w:ascii="Times New Roman" w:hAnsi="Times New Roman" w:cs="Times New Roman"/>
          <w:sz w:val="22"/>
        </w:rPr>
      </w:pPr>
      <w:r>
        <w:rPr>
          <w:rFonts w:cs="Arial Black" w:ascii="Arial Black" w:hAnsi="Arial Black"/>
          <w:sz w:val="22"/>
        </w:rPr>
        <w:t>Cancellations</w:t>
      </w:r>
    </w:p>
    <w:p>
      <w:pPr>
        <w:pStyle w:val="BodyText"/>
        <w:rPr/>
      </w:pPr>
      <w:r>
        <w:rPr/>
        <w:t>A refund (less $25 administration fee) will be made if written cancellation notice is received by August 15, 2001. A substitute attendee is always welcome at no extra charge.</w:t>
      </w:r>
    </w:p>
    <w:p>
      <w:pPr>
        <w:pStyle w:val="BodyText2"/>
        <w:tabs>
          <w:tab w:val="clear" w:pos="2160"/>
          <w:tab w:val="left" w:pos="2880" w:leader="none"/>
        </w:tabs>
        <w:rPr>
          <w:b/>
          <w:sz w:val="16"/>
        </w:rPr>
      </w:pPr>
      <w:r>
        <w:rPr>
          <w:b/>
          <w:sz w:val="16"/>
        </w:rPr>
      </w:r>
    </w:p>
    <w:p>
      <w:pPr>
        <w:pStyle w:val="BodyText2"/>
        <w:tabs>
          <w:tab w:val="clear" w:pos="2160"/>
          <w:tab w:val="left" w:pos="2880" w:leader="none"/>
        </w:tabs>
        <w:rPr>
          <w:b/>
        </w:rPr>
      </w:pPr>
      <w:r>
        <w:rPr>
          <w:b/>
        </w:rPr>
        <w:t>Register for Conference</w:t>
      </w:r>
    </w:p>
    <w:p>
      <w:pPr>
        <w:pStyle w:val="BodyText2"/>
        <w:tabs>
          <w:tab w:val="clear" w:pos="2160"/>
          <w:tab w:val="left" w:pos="2880" w:leader="none"/>
        </w:tabs>
        <w:rPr/>
      </w:pPr>
      <w:r>
        <w:rPr/>
        <w:t xml:space="preserve">Register by sending the information below to EPIS by: 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38"/>
      </w:tblGrid>
      <w:tr>
        <w:trPr>
          <w:trHeight w:val="2420" w:hRule="atLeast"/>
        </w:trPr>
        <w:tc>
          <w:tcPr>
            <w:tcW w:w="7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PlainText"/>
              <w:spacing w:before="40" w:after="40"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2001 Electric Market Forecasting Conference</w:t>
            </w:r>
          </w:p>
          <w:p>
            <w:pPr>
              <w:pStyle w:val="PlainText"/>
              <w:spacing w:before="40" w:after="40"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Registration Information</w:t>
            </w:r>
          </w:p>
          <w:p>
            <w:pPr>
              <w:pStyle w:val="PlainText"/>
              <w:tabs>
                <w:tab w:val="clear" w:pos="720"/>
                <w:tab w:val="left" w:pos="108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Name:</w:t>
              <w:tab/>
              <w:t>_____________________________________________________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Title:</w:t>
              <w:tab/>
              <w:t>_____________________________________________________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Organization:</w:t>
              <w:tab/>
              <w:t>___________________________________________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Address:</w:t>
              <w:tab/>
              <w:t>_____________________________________________________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  <w:tab w:val="left" w:pos="3420" w:leader="none"/>
                <w:tab w:val="left" w:pos="4140" w:leader="none"/>
                <w:tab w:val="left" w:pos="4950" w:leader="none"/>
                <w:tab w:val="left" w:pos="540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City:</w:t>
              <w:tab/>
              <w:t>____________________</w:t>
              <w:tab/>
              <w:t>State</w:t>
              <w:tab/>
              <w:t>______</w:t>
              <w:tab/>
              <w:t>Zip</w:t>
              <w:tab/>
              <w:t>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  <w:tab w:val="left" w:pos="3060" w:leader="none"/>
              </w:tabs>
              <w:spacing w:before="40" w:after="40"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cs="Times New Roman" w:ascii="Times New Roman" w:hAnsi="Times New Roman"/>
                <w:caps/>
                <w:sz w:val="22"/>
              </w:rPr>
              <w:t>Phone:</w:t>
              <w:tab/>
              <w:t>(       ) _________________</w:t>
              <w:tab/>
              <w:t>Fax:  (        ) __________________</w:t>
            </w:r>
          </w:p>
          <w:p>
            <w:pPr>
              <w:pStyle w:val="PlainText"/>
              <w:tabs>
                <w:tab w:val="clear" w:pos="720"/>
                <w:tab w:val="left" w:pos="1080" w:leader="none"/>
              </w:tabs>
              <w:spacing w:before="40" w:after="40"/>
              <w:rPr/>
            </w:pPr>
            <w:r>
              <w:rPr>
                <w:rFonts w:cs="Times New Roman" w:ascii="Times New Roman" w:hAnsi="Times New Roman"/>
                <w:caps/>
                <w:sz w:val="22"/>
              </w:rPr>
              <w:t>Email:</w:t>
            </w:r>
            <w:r>
              <w:rPr>
                <w:rFonts w:cs="Times New Roman" w:ascii="Times New Roman" w:hAnsi="Times New Roman"/>
                <w:sz w:val="22"/>
              </w:rPr>
              <w:tab/>
              <w:t>_____________________________________________________</w:t>
            </w:r>
          </w:p>
          <w:p>
            <w:pPr>
              <w:pStyle w:val="PlainText"/>
              <w:spacing w:before="40" w:after="40"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Conference and Payment Options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2700" w:leader="none"/>
                <w:tab w:val="right" w:pos="6480" w:leader="none"/>
              </w:tabs>
              <w:ind w:hanging="270" w:start="27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  <w:t xml:space="preserve">Conference Registration </w:t>
              <w:tab/>
            </w:r>
            <w:r>
              <w:rPr>
                <w:rFonts w:cs="Times New Roman" w:ascii="Times New Roman" w:hAnsi="Times New Roman"/>
                <w:i/>
                <w:sz w:val="22"/>
              </w:rPr>
              <w:t>(by June 30, 2001)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  <w:tab/>
            </w:r>
            <w:r>
              <w:rPr>
                <w:rFonts w:cs="Arial Black" w:ascii="Arial Black" w:hAnsi="Arial Black"/>
                <w:sz w:val="22"/>
              </w:rPr>
              <w:t>$399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2700" w:leader="none"/>
                <w:tab w:val="right" w:pos="6480" w:leader="none"/>
              </w:tabs>
              <w:ind w:hanging="270" w:start="27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ab/>
              <w:tab/>
            </w:r>
            <w:r>
              <w:rPr>
                <w:rFonts w:cs="Times New Roman" w:ascii="Times New Roman" w:hAnsi="Times New Roman"/>
                <w:i/>
                <w:sz w:val="22"/>
              </w:rPr>
              <w:t>(July 1, 2001 or after)</w:t>
            </w:r>
            <w:r>
              <w:rPr>
                <w:rFonts w:cs="Times New Roman" w:ascii="Times New Roman" w:hAnsi="Times New Roman"/>
                <w:sz w:val="22"/>
              </w:rPr>
              <w:tab/>
            </w:r>
            <w:r>
              <w:rPr>
                <w:rFonts w:cs="Arial Black" w:ascii="Arial Black" w:hAnsi="Arial Black"/>
                <w:sz w:val="22"/>
              </w:rPr>
              <w:t>$499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right" w:pos="6480" w:leader="none"/>
              </w:tabs>
              <w:ind w:hanging="270" w:start="270" w:end="0"/>
              <w:rPr>
                <w:rFonts w:ascii="Times New Roman" w:hAnsi="Times New Roman" w:cs="Times New Roman"/>
                <w:strike/>
                <w:sz w:val="22"/>
              </w:rPr>
            </w:pP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</w:r>
            <w:r>
              <w:rPr>
                <w:rFonts w:cs="Times New Roman" w:ascii="Times New Roman" w:hAnsi="Times New Roman"/>
                <w:i/>
                <w:sz w:val="22"/>
              </w:rPr>
              <w:t>Energy Market Modeling Pre-conference Workshop</w:t>
            </w:r>
            <w:r>
              <w:rPr>
                <w:rFonts w:cs="Times New Roman" w:ascii="Times New Roman" w:hAnsi="Times New Roman"/>
                <w:sz w:val="22"/>
              </w:rPr>
              <w:tab/>
            </w:r>
            <w:r>
              <w:rPr>
                <w:rFonts w:cs="Arial Black" w:ascii="Arial Black" w:hAnsi="Arial Black"/>
                <w:sz w:val="22"/>
              </w:rPr>
              <w:t>Included</w:t>
            </w:r>
          </w:p>
          <w:p>
            <w:pPr>
              <w:pStyle w:val="PlainText"/>
              <w:spacing w:before="40" w:after="40"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Payment Method</w:t>
            </w:r>
          </w:p>
          <w:p>
            <w:pPr>
              <w:pStyle w:val="PlainText"/>
              <w:tabs>
                <w:tab w:val="clear" w:pos="720"/>
                <w:tab w:val="left" w:pos="270" w:leader="none"/>
              </w:tabs>
              <w:rPr/>
            </w:pP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  <w:t>I have enclosed a check for the full amount of  $_________________________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1890" w:leader="none"/>
                <w:tab w:val="left" w:pos="2160" w:leader="none"/>
                <w:tab w:val="left" w:pos="2880" w:leader="none"/>
                <w:tab w:val="left" w:pos="3150" w:leader="none"/>
                <w:tab w:val="left" w:pos="4500" w:leader="none"/>
                <w:tab w:val="left" w:pos="4770" w:leader="none"/>
              </w:tabs>
              <w:rPr/>
            </w:pPr>
            <w:r>
              <w:rPr>
                <w:rFonts w:cs="Times New Roman" w:ascii="Times New Roman" w:hAnsi="Times New Roman"/>
                <w:sz w:val="22"/>
              </w:rPr>
              <w:t>Please charge my:</w:t>
              <w:tab/>
            </w: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  <w:t>Visa</w:t>
              <w:tab/>
            </w: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  <w:t>MasterCard</w:t>
              <w:tab/>
            </w:r>
            <w:r>
              <w:rPr>
                <w:rFonts w:eastAsia="Symbol" w:cs="Symbol" w:ascii="Symbol" w:hAnsi="Symbol"/>
                <w:sz w:val="22"/>
              </w:rPr>
              <w:sym w:font="Symbol" w:char="f07f"/>
            </w:r>
            <w:r>
              <w:rPr>
                <w:rFonts w:cs="Times New Roman" w:ascii="Times New Roman" w:hAnsi="Times New Roman"/>
                <w:sz w:val="22"/>
              </w:rPr>
              <w:tab/>
              <w:t xml:space="preserve">American Express 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1980" w:leader="none"/>
                <w:tab w:val="left" w:pos="2160" w:leader="none"/>
                <w:tab w:val="left" w:pos="2790" w:leader="none"/>
                <w:tab w:val="left" w:pos="3060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for the full amount of $___________________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3960" w:leader="none"/>
              </w:tabs>
              <w:rPr/>
            </w:pPr>
            <w:r>
              <w:rPr>
                <w:rFonts w:cs="Times New Roman" w:ascii="Times New Roman" w:hAnsi="Times New Roman"/>
                <w:sz w:val="22"/>
              </w:rPr>
              <w:tab/>
            </w:r>
            <w:r>
              <w:rPr>
                <w:rFonts w:cs="Times New Roman" w:ascii="Times New Roman" w:hAnsi="Times New Roman"/>
                <w:caps/>
              </w:rPr>
              <w:t>Card number: ___________________________</w:t>
              <w:tab/>
              <w:t>Exp. Date:  ________</w:t>
            </w:r>
          </w:p>
          <w:p>
            <w:pPr>
              <w:pStyle w:val="PlainText"/>
              <w:rPr>
                <w:rFonts w:ascii="Times New Roman" w:hAnsi="Times New Roman" w:cs="Times New Roman"/>
                <w:caps/>
              </w:rPr>
            </w:pPr>
            <w:r>
              <w:rPr>
                <w:rFonts w:cs="Times New Roman" w:ascii="Times New Roman" w:hAnsi="Times New Roman"/>
                <w:caps/>
              </w:rPr>
            </w:r>
          </w:p>
          <w:p>
            <w:pPr>
              <w:pStyle w:val="PlainText"/>
              <w:tabs>
                <w:tab w:val="clear" w:pos="720"/>
                <w:tab w:val="left" w:pos="270" w:leader="none"/>
              </w:tabs>
              <w:rPr>
                <w:rFonts w:ascii="Times New Roman" w:hAnsi="Times New Roman" w:cs="Times New Roman"/>
                <w:caps/>
              </w:rPr>
            </w:pPr>
            <w:r>
              <w:rPr>
                <w:rFonts w:cs="Times New Roman" w:ascii="Times New Roman" w:hAnsi="Times New Roman"/>
                <w:caps/>
              </w:rPr>
              <w:tab/>
              <w:t>Signature: _______________________________________________________</w:t>
            </w:r>
          </w:p>
          <w:p>
            <w:pPr>
              <w:pStyle w:val="PlainText"/>
              <w:tabs>
                <w:tab w:val="clear" w:pos="720"/>
                <w:tab w:val="left" w:pos="270" w:leader="none"/>
              </w:tabs>
              <w:spacing w:before="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cs="Times New Roman" w:ascii="Times New Roman" w:hAnsi="Times New Roman"/>
                <w:caps/>
              </w:rPr>
              <w:tab/>
              <w:t>Account address (if different): ________________________________</w:t>
            </w:r>
          </w:p>
          <w:p>
            <w:pPr>
              <w:pStyle w:val="PlainText"/>
              <w:tabs>
                <w:tab w:val="clear" w:pos="720"/>
                <w:tab w:val="left" w:pos="270" w:leader="none"/>
                <w:tab w:val="left" w:pos="2790" w:leader="none"/>
                <w:tab w:val="left" w:pos="3780" w:leader="none"/>
              </w:tabs>
              <w:spacing w:before="0" w:after="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aps/>
              </w:rPr>
              <w:tab/>
              <w:tab/>
              <w:t>ZIP CODE:</w:t>
              <w:tab/>
              <w:t>___________________</w:t>
            </w:r>
          </w:p>
          <w:p>
            <w:pPr>
              <w:pStyle w:val="PlainText"/>
              <w:spacing w:before="40" w:after="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Please return to EPIS, Inc., by:</w:t>
            </w:r>
          </w:p>
          <w:p>
            <w:pPr>
              <w:pStyle w:val="PlainText"/>
              <w:tabs>
                <w:tab w:val="clear" w:pos="720"/>
                <w:tab w:val="left" w:pos="540" w:leader="none"/>
                <w:tab w:val="left" w:pos="2250" w:leader="none"/>
              </w:tabs>
              <w:spacing w:before="40" w:after="40"/>
              <w:rPr/>
            </w:pPr>
            <w:r>
              <w:rPr>
                <w:rFonts w:cs="Times New Roman" w:ascii="Times New Roman" w:hAnsi="Times New Roman"/>
                <w:b/>
                <w:caps/>
              </w:rPr>
              <w:t>Fax</w:t>
            </w:r>
            <w:r>
              <w:rPr>
                <w:rFonts w:cs="Times New Roman" w:ascii="Times New Roman" w:hAnsi="Times New Roman"/>
              </w:rPr>
              <w:tab/>
              <w:t>(503) 722-7130</w:t>
              <w:tab/>
            </w:r>
            <w:r>
              <w:rPr>
                <w:rFonts w:cs="Times New Roman" w:ascii="Times New Roman" w:hAnsi="Times New Roman"/>
                <w:b/>
              </w:rPr>
              <w:t xml:space="preserve">MAIL </w:t>
            </w:r>
            <w:r>
              <w:rPr>
                <w:rFonts w:cs="Times New Roman" w:ascii="Times New Roman" w:hAnsi="Times New Roman"/>
              </w:rPr>
              <w:t>1800 Blankenship Rd., Suite 350, West Linn, OR 97068</w:t>
            </w:r>
          </w:p>
          <w:p>
            <w:pPr>
              <w:pStyle w:val="PlainText"/>
              <w:spacing w:before="40" w:after="40"/>
              <w:rPr>
                <w:sz w:val="22"/>
              </w:rPr>
            </w:pPr>
            <w:r>
              <w:rPr>
                <w:rFonts w:cs="Times New Roman" w:ascii="Times New Roman" w:hAnsi="Times New Roman"/>
              </w:rPr>
              <w:t xml:space="preserve">Or register by </w:t>
            </w:r>
            <w:r>
              <w:rPr>
                <w:rFonts w:cs="Times New Roman" w:ascii="Times New Roman" w:hAnsi="Times New Roman"/>
                <w:b/>
                <w:caps/>
              </w:rPr>
              <w:t>phone</w:t>
            </w:r>
            <w:r>
              <w:rPr>
                <w:rFonts w:cs="Times New Roman" w:ascii="Times New Roman" w:hAnsi="Times New Roman"/>
              </w:rPr>
              <w:t xml:space="preserve"> at (503) 722-2023 x201.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0" w:top="1080" w:footer="0" w:bottom="10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rFonts w:ascii="Garamond" w:hAnsi="Garamond" w:cs="Garamond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880" w:leader="none"/>
      </w:tabs>
      <w:ind w:hanging="0" w:start="2880" w:end="0"/>
      <w:outlineLvl w:val="4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  <w:u w:val="none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2">
    <w:name w:val="Body Text 2"/>
    <w:basedOn w:val="Normal"/>
    <w:qFormat/>
    <w:pPr>
      <w:tabs>
        <w:tab w:val="clear" w:pos="720"/>
        <w:tab w:val="left" w:pos="2160" w:leader="none"/>
      </w:tabs>
    </w:pPr>
    <w:rPr>
      <w:sz w:val="22"/>
      <w:u w:val="single"/>
    </w:rPr>
  </w:style>
  <w:style w:type="paragraph" w:styleId="BodyText3">
    <w:name w:val="Body Text 3"/>
    <w:basedOn w:val="Normal"/>
    <w:qFormat/>
    <w:pPr/>
    <w:rPr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2001-06-25T17:14:00Z</dcterms:created>
  <dc:creator>E95634</dc:creator>
  <dc:description/>
  <dc:language>en-CA</dc:language>
  <cp:lastModifiedBy>Valued Gateway Client</cp:lastModifiedBy>
  <cp:lastPrinted>2000-06-16T17:23:00Z</cp:lastPrinted>
  <dcterms:modified xsi:type="dcterms:W3CDTF">2001-06-25T20:59:00Z</dcterms:modified>
  <cp:revision>7</cp:revision>
  <dc:subject/>
  <dc:title>EPIS CONFERENCE DIRECT MAILER</dc:title>
</cp:coreProperties>
</file>