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bottom w:val="nil"/>
        </w:pBdr>
        <w:spacing w:before="120" w:after="120"/>
        <w:rPr/>
      </w:pPr>
      <w:r>
        <w:rPr/>
        <w:t>Gas Accord II Settlement</w:t>
      </w:r>
    </w:p>
    <w:p>
      <w:pPr>
        <w:pStyle w:val="BodyText"/>
        <w:spacing w:before="120" w:after="0"/>
        <w:rPr>
          <w:i w:val="false"/>
          <w:i w:val="false"/>
          <w:iCs/>
          <w:sz w:val="32"/>
        </w:rPr>
      </w:pPr>
      <w:bookmarkStart w:id="0" w:name="DocTitle1"/>
      <w:r>
        <w:rPr>
          <w:i w:val="false"/>
          <w:iCs/>
          <w:sz w:val="32"/>
        </w:rPr>
        <w:t>Workshop</w:t>
      </w:r>
      <w:bookmarkEnd w:id="0"/>
    </w:p>
    <w:p>
      <w:pPr>
        <w:pStyle w:val="Normal"/>
        <w:jc w:val="center"/>
        <w:rPr>
          <w:rFonts w:ascii="Georgia" w:hAnsi="Georgia" w:cs="Georgia"/>
          <w:b/>
          <w:sz w:val="28"/>
        </w:rPr>
      </w:pPr>
      <w:r>
        <w:rPr>
          <w:rFonts w:cs="Georgia" w:ascii="Georgia" w:hAnsi="Georgia"/>
          <w:b/>
          <w:sz w:val="28"/>
        </w:rPr>
        <w:t>November 7, 2000, 9:00 a.m. to 4:00 p.m.</w:t>
      </w:r>
    </w:p>
    <w:p>
      <w:pPr>
        <w:pStyle w:val="Normal"/>
        <w:jc w:val="center"/>
        <w:rPr>
          <w:rFonts w:ascii="Georgia" w:hAnsi="Georgia" w:cs="Georgia"/>
        </w:rPr>
      </w:pPr>
      <w:r>
        <w:rPr>
          <w:rFonts w:cs="Georgia" w:ascii="Georgia" w:hAnsi="Georgia"/>
        </w:rPr>
        <w:t>(Conference Room 308, 77 Beale Street, San Francisco)</w:t>
      </w:r>
    </w:p>
    <w:p>
      <w:pPr>
        <w:pStyle w:val="Normal"/>
        <w:spacing w:before="120" w:after="0"/>
        <w:jc w:val="center"/>
        <w:rPr/>
      </w:pPr>
      <w:r>
        <w:rPr/>
        <w:t>AGENDA</w:t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8010"/>
        <w:gridCol w:w="990"/>
      </w:tblGrid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Begin at 9:00 a.m.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60"/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60"/>
              <w:rPr>
                <w:b/>
              </w:rPr>
            </w:pPr>
            <w:r>
              <w:rPr>
                <w:b/>
              </w:rPr>
              <w:t>Demand-Supply Forecast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60"/>
              <w:rPr>
                <w:b/>
              </w:rPr>
            </w:pPr>
            <w:r>
              <w:rPr>
                <w:b/>
              </w:rPr>
              <w:t>Supply Reliability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bCs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Lunch from 12:00 to 1:00 p.m.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spacing w:before="120" w:after="60"/>
              <w:rPr>
                <w:b/>
              </w:rPr>
            </w:pPr>
            <w:r>
              <w:rPr>
                <w:b/>
              </w:rPr>
              <w:t>C.</w:t>
              <w:tab/>
              <w:t xml:space="preserve">Supply Reliability  </w:t>
            </w:r>
            <w:r>
              <w:rPr>
                <w:bCs/>
              </w:rPr>
              <w:t>(continued)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60"/>
              <w:rPr>
                <w:b/>
              </w:rPr>
            </w:pPr>
            <w:r>
              <w:rPr>
                <w:b/>
              </w:rPr>
              <w:t xml:space="preserve">Feedback Discussion  </w:t>
            </w:r>
            <w:r>
              <w:rPr>
                <w:bCs/>
              </w:rPr>
              <w:t>(two hours)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Adjourn around 4:00 p.m.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</w:tbl>
    <w:p>
      <w:pPr>
        <w:pStyle w:val="Bullet3"/>
        <w:pBdr>
          <w:bottom w:val="thickThinSmallGap" w:sz="12" w:space="1" w:color="000000"/>
        </w:pBdr>
        <w:rPr/>
      </w:pPr>
      <w:r>
        <w:rPr/>
      </w:r>
      <w:bookmarkStart w:id="1" w:name="DocTitle2"/>
      <w:bookmarkStart w:id="2" w:name="DocTitle2"/>
    </w:p>
    <w:p>
      <w:pPr>
        <w:pStyle w:val="Heading3"/>
        <w:rPr>
          <w:sz w:val="32"/>
        </w:rPr>
      </w:pPr>
      <w:bookmarkStart w:id="3" w:name="DocTitle2"/>
      <w:r>
        <w:rPr>
          <w:sz w:val="32"/>
        </w:rPr>
        <w:t>Workshop</w:t>
      </w:r>
      <w:bookmarkEnd w:id="3"/>
    </w:p>
    <w:p>
      <w:pPr>
        <w:pStyle w:val="Heading4"/>
        <w:rPr/>
      </w:pPr>
      <w:r>
        <w:rPr/>
        <w:t>November 8, 2000, 9:00 a.m. to 3:00 p.m.</w:t>
      </w:r>
    </w:p>
    <w:p>
      <w:pPr>
        <w:pStyle w:val="Normal"/>
        <w:jc w:val="center"/>
        <w:rPr>
          <w:rFonts w:ascii="Georgia" w:hAnsi="Georgia" w:cs="Georgia"/>
        </w:rPr>
      </w:pPr>
      <w:r>
        <w:rPr>
          <w:rFonts w:cs="Georgia" w:ascii="Georgia" w:hAnsi="Georgia"/>
        </w:rPr>
        <w:t>(Conference Room 300, 77 Beale Street, San Francisco)</w:t>
      </w:r>
    </w:p>
    <w:p>
      <w:pPr>
        <w:pStyle w:val="Heading2"/>
        <w:rPr/>
      </w:pPr>
      <w:r>
        <w:rPr/>
        <w:t>AGENDA</w:t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8010"/>
        <w:gridCol w:w="990"/>
      </w:tblGrid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Begin at 9:00 a.m.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60"/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60"/>
              <w:rPr>
                <w:b/>
              </w:rPr>
            </w:pPr>
            <w:r>
              <w:rPr>
                <w:b/>
              </w:rPr>
              <w:t>Capital Expenditure Forecast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60"/>
              <w:rPr>
                <w:b/>
              </w:rPr>
            </w:pPr>
            <w:r>
              <w:rPr>
                <w:b/>
              </w:rPr>
              <w:t>Backbone Direct Connect and Local Transmission Rate Design Options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bCs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Lunch from 12:00 to 1:00 p.m.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20" w:after="60"/>
              <w:rPr>
                <w:b/>
              </w:rPr>
            </w:pPr>
            <w:r>
              <w:rPr>
                <w:b/>
              </w:rPr>
              <w:t xml:space="preserve">Feedback Discussion  </w:t>
            </w:r>
            <w:r>
              <w:rPr>
                <w:bCs/>
              </w:rPr>
              <w:t>(two hours)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20" w:after="60"/>
              <w:rPr>
                <w:b/>
              </w:rPr>
            </w:pPr>
            <w:r>
              <w:rPr>
                <w:b/>
              </w:rPr>
              <w:t>Next Steps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keepNext w:val="true"/>
              <w:snapToGrid w:val="false"/>
              <w:spacing w:before="120" w:after="6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120" w:after="6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Adjourn around 3:00 p.m.</w:t>
            </w:r>
          </w:p>
        </w:tc>
        <w:tc>
          <w:tcPr>
            <w:tcW w:w="990" w:type="dxa"/>
            <w:tcBorders/>
          </w:tcPr>
          <w:p>
            <w:pPr>
              <w:pStyle w:val="Bullet1-Memo"/>
              <w:snapToGrid w:val="false"/>
              <w:spacing w:before="120" w:after="6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</w:tbl>
    <w:p>
      <w:pPr>
        <w:pStyle w:val="Bullet3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008" w:right="1008" w:gutter="0" w:header="576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Bookman Old Style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BernhardMod BT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For Settlement Purposes Only</w:t>
    </w:r>
  </w:p>
  <w:p>
    <w:pPr>
      <w:pStyle w:val="Header"/>
      <w:rPr>
        <w:rFonts w:ascii="BernhardMod BT" w:hAnsi="BernhardMod BT" w:cs="BernhardMod BT"/>
        <w:b/>
        <w:i/>
        <w:i/>
        <w:sz w:val="30"/>
      </w:rPr>
    </w:pPr>
    <w:r>
      <w:rPr>
        <w:rFonts w:cs="BernhardMod BT" w:ascii="BernhardMod BT" w:hAnsi="BernhardMod BT"/>
        <w:b/>
        <w:i/>
        <w:sz w:val="30"/>
      </w:rPr>
      <w:t>Gas Accord II Settlement</w:t>
    </w:r>
  </w:p>
  <w:p>
    <w:pPr>
      <w:pStyle w:val="Header"/>
      <w:rPr>
        <w:rFonts w:ascii="Bookman Old Style" w:hAnsi="Bookman Old Style" w:cs="Bookman Old Style"/>
        <w:b/>
        <w:i/>
        <w:i/>
        <w:sz w:val="28"/>
      </w:rPr>
    </w:pPr>
    <w:r>
      <w:rPr>
        <w:rFonts w:cs="Bookman Old Style" w:ascii="Bookman Old Style" w:hAnsi="Bookman Old Style"/>
        <w:b/>
        <w:i/>
        <w:sz w:val="28"/>
      </w:rPr>
      <w:fldChar w:fldCharType="begin"/>
    </w:r>
    <w:r>
      <w:rPr>
        <w:sz w:val="28"/>
        <w:i/>
        <w:b/>
        <w:rFonts w:cs="Bookman Old Style" w:ascii="Bookman Old Style" w:hAnsi="Bookman Old Style"/>
      </w:rPr>
      <w:instrText xml:space="preserve"> REF DocTitle2 \h </w:instrText>
    </w:r>
    <w:r>
      <w:rPr>
        <w:sz w:val="28"/>
        <w:i/>
        <w:b/>
        <w:rFonts w:cs="Bookman Old Style" w:ascii="Bookman Old Style" w:hAnsi="Bookman Old Style"/>
      </w:rPr>
      <w:fldChar w:fldCharType="separate"/>
    </w:r>
    <w:r>
      <w:rPr>
        <w:sz w:val="28"/>
        <w:i/>
        <w:b/>
        <w:rFonts w:cs="Bookman Old Style" w:ascii="Bookman Old Style" w:hAnsi="Bookman Old Style"/>
      </w:rPr>
    </w:r>
    <w:r>
      <w:rPr>
        <w:sz w:val="28"/>
        <w:i/>
        <w:b/>
        <w:rFonts w:cs="Bookman Old Style" w:ascii="Bookman Old Style" w:hAnsi="Bookman Old Style"/>
      </w:rPr>
      <w:fldChar w:fldCharType="end"/>
    </w:r>
  </w:p>
  <w:p>
    <w:pPr>
      <w:pStyle w:val="Header"/>
      <w:rPr>
        <w:rFonts w:ascii="Bookman Old Style" w:hAnsi="Bookman Old Style" w:cs="Bookman Old Style"/>
        <w:b/>
        <w:i/>
        <w:i/>
        <w:sz w:val="28"/>
      </w:rPr>
    </w:pPr>
    <w:r>
      <w:rPr>
        <w:rFonts w:cs="Bookman Old Style" w:ascii="Bookman Old Style" w:hAnsi="Bookman Old Style"/>
        <w:b/>
        <w:i/>
        <w:sz w:val="28"/>
      </w:rPr>
      <w:fldChar w:fldCharType="begin"/>
    </w:r>
    <w:r>
      <w:rPr>
        <w:sz w:val="28"/>
        <w:i/>
        <w:b/>
        <w:rFonts w:cs="Bookman Old Style" w:ascii="Bookman Old Style" w:hAnsi="Bookman Old Style"/>
      </w:rPr>
      <w:instrText xml:space="preserve"> REF DocDate \h </w:instrText>
    </w:r>
    <w:r>
      <w:rPr>
        <w:sz w:val="28"/>
        <w:i/>
        <w:b/>
        <w:rFonts w:cs="Bookman Old Style" w:ascii="Bookman Old Style" w:hAnsi="Bookman Old Style"/>
      </w:rPr>
      <w:fldChar w:fldCharType="separate"/>
    </w:r>
    <w:r>
      <w:rPr>
        <w:sz w:val="28"/>
        <w:i/>
        <w:b/>
        <w:rFonts w:cs="Bookman Old Style" w:ascii="Bookman Old Style" w:hAnsi="Bookman Old Style"/>
      </w:rPr>
      <w:t>Error: Reference source not found</w:t>
    </w:r>
    <w:r>
      <w:rPr>
        <w:sz w:val="28"/>
        <w:i/>
        <w:b/>
        <w:rFonts w:cs="Bookman Old Style" w:ascii="Bookman Old Style" w:hAnsi="Bookman Old Style"/>
      </w:rPr>
      <w:fldChar w:fldCharType="end"/>
    </w:r>
  </w:p>
  <w:p>
    <w:pPr>
      <w:pStyle w:val="Header"/>
      <w:rPr>
        <w:b/>
        <w:i/>
        <w:i/>
      </w:rPr>
    </w:pPr>
    <w:r>
      <w:rPr>
        <w:b/>
        <w:i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For Settlement Purposes Pursuant To CPUC Rule 51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792"/>
        </w:tabs>
        <w:ind w:start="432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432" w:hanging="432"/>
      </w:pPr>
    </w:lvl>
    <w:lvl w:ilvl="1">
      <w:start w:val="1"/>
      <w:numFmt w:val="upperLetter"/>
      <w:lvlText w:val="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432"/>
        </w:tabs>
        <w:ind w:start="864" w:hanging="432"/>
      </w:pPr>
    </w:lvl>
    <w:lvl w:ilvl="2">
      <w:start w:val="1"/>
      <w:numFmt w:val="lowerLetter"/>
      <w:lvlText w:val="%3."/>
      <w:lvlJc w:val="start"/>
      <w:pPr>
        <w:tabs>
          <w:tab w:val="num" w:pos="432"/>
        </w:tabs>
        <w:ind w:start="1296" w:hanging="432"/>
      </w:pPr>
    </w:lvl>
    <w:lvl w:ilvl="3">
      <w:start w:val="1"/>
      <w:numFmt w:val="lowerRoman"/>
      <w:lvlText w:val="%4."/>
      <w:lvlJc w:val="start"/>
      <w:pPr>
        <w:tabs>
          <w:tab w:val="num" w:pos="432"/>
        </w:tabs>
        <w:ind w:start="1728" w:hanging="432"/>
      </w:pPr>
    </w:lvl>
    <w:lvl w:ilvl="4">
      <w:start w:val="1"/>
      <w:numFmt w:val="decimal"/>
      <w:lvlText w:val=".%5"/>
      <w:lvlJc w:val="start"/>
      <w:pPr>
        <w:tabs>
          <w:tab w:val="num" w:pos="1008"/>
        </w:tabs>
        <w:ind w:start="2736" w:hanging="1008"/>
      </w:pPr>
    </w:lvl>
    <w:lvl w:ilvl="5">
      <w:start w:val="1"/>
      <w:numFmt w:val="decimal"/>
      <w:lvlText w:val=".%6"/>
      <w:lvlJc w:val="start"/>
      <w:pPr>
        <w:tabs>
          <w:tab w:val="num" w:pos="1152"/>
        </w:tabs>
        <w:ind w:start="3888" w:hanging="1152"/>
      </w:pPr>
    </w:lvl>
    <w:lvl w:ilvl="6">
      <w:start w:val="1"/>
      <w:numFmt w:val="decimal"/>
      <w:lvlText w:val=".%7"/>
      <w:lvlJc w:val="start"/>
      <w:pPr>
        <w:tabs>
          <w:tab w:val="num" w:pos="1296"/>
        </w:tabs>
        <w:ind w:start="5184" w:hanging="1296"/>
      </w:pPr>
    </w:lvl>
    <w:lvl w:ilvl="7">
      <w:start w:val="1"/>
      <w:numFmt w:val="decimal"/>
      <w:lvlText w:val=".%8"/>
      <w:lvlJc w:val="start"/>
      <w:pPr>
        <w:tabs>
          <w:tab w:val="num" w:pos="1440"/>
        </w:tabs>
        <w:ind w:start="6624" w:hanging="1440"/>
      </w:pPr>
    </w:lvl>
    <w:lvl w:ilvl="8">
      <w:start w:val="1"/>
      <w:numFmt w:val="decimal"/>
      <w:lvlText w:val=".%9"/>
      <w:lvlJc w:val="start"/>
      <w:pPr>
        <w:tabs>
          <w:tab w:val="num" w:pos="1584"/>
        </w:tabs>
        <w:ind w:start="8208" w:hanging="1584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1.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1.%2.%3."/>
      <w:lvlJc w:val="start"/>
      <w:pPr>
        <w:tabs>
          <w:tab w:val="num" w:pos="1584"/>
        </w:tabs>
        <w:ind w:start="1296" w:hanging="432"/>
      </w:pPr>
    </w:lvl>
    <w:lvl w:ilvl="3">
      <w:start w:val="1"/>
      <w:numFmt w:val="decimal"/>
      <w:lvlText w:val="%1.%2.%3.%4."/>
      <w:lvlJc w:val="start"/>
      <w:pPr>
        <w:tabs>
          <w:tab w:val="num" w:pos="2376"/>
        </w:tabs>
        <w:ind w:start="1728" w:hanging="432"/>
      </w:pPr>
    </w:lvl>
    <w:lvl w:ilvl="4">
      <w:start w:val="1"/>
      <w:numFmt w:val="decimal"/>
      <w:lvlText w:val="%1.%2.%3.%4.%5."/>
      <w:lvlJc w:val="start"/>
      <w:pPr>
        <w:tabs>
          <w:tab w:val="num" w:pos="2808"/>
        </w:tabs>
        <w:ind w:start="2448" w:hanging="720"/>
      </w:pPr>
    </w:lvl>
    <w:lvl w:ilvl="5">
      <w:start w:val="1"/>
      <w:numFmt w:val="decimal"/>
      <w:lvlText w:val="%1.%2.%3.%4.%5.%6."/>
      <w:lvlJc w:val="start"/>
      <w:pPr>
        <w:tabs>
          <w:tab w:val="num" w:pos="3600"/>
        </w:tabs>
        <w:ind w:start="2880" w:hanging="720"/>
      </w:p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68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1.%2."/>
      <w:lvlJc w:val="start"/>
      <w:pPr>
        <w:tabs>
          <w:tab w:val="num" w:pos="1008"/>
        </w:tabs>
        <w:ind w:start="1008" w:hanging="576"/>
      </w:pPr>
    </w:lvl>
    <w:lvl w:ilvl="2">
      <w:start w:val="1"/>
      <w:numFmt w:val="decimal"/>
      <w:lvlText w:val="%1.%2.%3."/>
      <w:lvlJc w:val="start"/>
      <w:pPr>
        <w:tabs>
          <w:tab w:val="num" w:pos="1584"/>
        </w:tabs>
        <w:ind w:start="1296" w:hanging="432"/>
      </w:pPr>
    </w:lvl>
    <w:lvl w:ilvl="3">
      <w:start w:val="1"/>
      <w:numFmt w:val="decimal"/>
      <w:lvlText w:val="%1.%2.%3.%4."/>
      <w:lvlJc w:val="start"/>
      <w:pPr>
        <w:tabs>
          <w:tab w:val="num" w:pos="2376"/>
        </w:tabs>
        <w:ind w:start="1728" w:hanging="432"/>
      </w:pPr>
    </w:lvl>
    <w:lvl w:ilvl="4">
      <w:start w:val="1"/>
      <w:numFmt w:val="decimal"/>
      <w:lvlText w:val="%1.%2.%3.%4.%5."/>
      <w:lvlJc w:val="start"/>
      <w:pPr>
        <w:tabs>
          <w:tab w:val="num" w:pos="2808"/>
        </w:tabs>
        <w:ind w:start="2448" w:hanging="720"/>
      </w:pPr>
    </w:lvl>
    <w:lvl w:ilvl="5">
      <w:start w:val="1"/>
      <w:numFmt w:val="decimal"/>
      <w:lvlText w:val="%1.%2.%3.%4.%5.%6."/>
      <w:lvlJc w:val="start"/>
      <w:pPr>
        <w:tabs>
          <w:tab w:val="num" w:pos="3600"/>
        </w:tabs>
        <w:ind w:start="2880" w:hanging="720"/>
      </w:p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68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432"/>
        </w:tabs>
        <w:ind w:start="864" w:hanging="432"/>
      </w:pPr>
    </w:lvl>
    <w:lvl w:ilvl="2">
      <w:start w:val="1"/>
      <w:numFmt w:val="lowerLetter"/>
      <w:lvlText w:val="%3."/>
      <w:lvlJc w:val="start"/>
      <w:pPr>
        <w:tabs>
          <w:tab w:val="num" w:pos="432"/>
        </w:tabs>
        <w:ind w:start="1296" w:hanging="432"/>
      </w:pPr>
    </w:lvl>
    <w:lvl w:ilvl="3">
      <w:start w:val="1"/>
      <w:numFmt w:val="lowerRoman"/>
      <w:lvlText w:val="%4."/>
      <w:lvlJc w:val="start"/>
      <w:pPr>
        <w:tabs>
          <w:tab w:val="num" w:pos="432"/>
        </w:tabs>
        <w:ind w:start="1728" w:hanging="432"/>
      </w:pPr>
    </w:lvl>
    <w:lvl w:ilvl="4">
      <w:start w:val="1"/>
      <w:numFmt w:val="decimal"/>
      <w:lvlText w:val=".%5"/>
      <w:lvlJc w:val="start"/>
      <w:pPr>
        <w:tabs>
          <w:tab w:val="num" w:pos="1008"/>
        </w:tabs>
        <w:ind w:start="2736" w:hanging="1008"/>
      </w:pPr>
    </w:lvl>
    <w:lvl w:ilvl="5">
      <w:start w:val="1"/>
      <w:numFmt w:val="decimal"/>
      <w:lvlText w:val=".%6"/>
      <w:lvlJc w:val="start"/>
      <w:pPr>
        <w:tabs>
          <w:tab w:val="num" w:pos="1152"/>
        </w:tabs>
        <w:ind w:start="3888" w:hanging="1152"/>
      </w:pPr>
    </w:lvl>
    <w:lvl w:ilvl="6">
      <w:start w:val="1"/>
      <w:numFmt w:val="decimal"/>
      <w:lvlText w:val=".%7"/>
      <w:lvlJc w:val="start"/>
      <w:pPr>
        <w:tabs>
          <w:tab w:val="num" w:pos="1296"/>
        </w:tabs>
        <w:ind w:start="5184" w:hanging="1296"/>
      </w:pPr>
    </w:lvl>
    <w:lvl w:ilvl="7">
      <w:start w:val="1"/>
      <w:numFmt w:val="decimal"/>
      <w:lvlText w:val=".%8"/>
      <w:lvlJc w:val="start"/>
      <w:pPr>
        <w:tabs>
          <w:tab w:val="num" w:pos="1440"/>
        </w:tabs>
        <w:ind w:start="6624" w:hanging="1440"/>
      </w:pPr>
    </w:lvl>
    <w:lvl w:ilvl="8">
      <w:start w:val="1"/>
      <w:numFmt w:val="decimal"/>
      <w:lvlText w:val=".%9"/>
      <w:lvlJc w:val="start"/>
      <w:pPr>
        <w:tabs>
          <w:tab w:val="num" w:pos="1584"/>
        </w:tabs>
        <w:ind w:start="8208" w:hanging="1584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32" w:leader="none"/>
      </w:tabs>
      <w:spacing w:before="240" w:after="0"/>
      <w:outlineLvl w:val="0"/>
    </w:pPr>
    <w:rPr>
      <w:rFonts w:ascii="Times New Roman Bold" w:hAnsi="Times New Roman Bold" w:cs="Times New Roman Bold"/>
      <w:b/>
      <w:caps/>
    </w:rPr>
  </w:style>
  <w:style w:type="paragraph" w:styleId="Heading2">
    <w:name w:val="heading 2"/>
    <w:basedOn w:val="Normal"/>
    <w:next w:val="Normal"/>
    <w:qFormat/>
    <w:pPr>
      <w:keepNext w:val="true"/>
      <w:spacing w:before="120" w:after="0"/>
      <w:jc w:val="center"/>
      <w:outlineLvl w:val="1"/>
    </w:pPr>
    <w:rPr>
      <w:rFonts w:ascii="Bookman Old Style" w:hAnsi="Bookman Old Style" w:cs="Bookman Old Style"/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spacing w:before="240" w:after="0"/>
      <w:jc w:val="center"/>
      <w:outlineLvl w:val="2"/>
    </w:pPr>
    <w:rPr>
      <w:rFonts w:ascii="Bookman Old Style" w:hAnsi="Bookman Old Style" w:cs="Bookman Old Style"/>
      <w:b/>
      <w:sz w:val="30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Georgia" w:hAnsi="Georgia" w:cs="Georgia"/>
      <w:b/>
      <w:sz w:val="2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pBdr>
        <w:bottom w:val="thickThinSmallGap" w:sz="12" w:space="1" w:color="000000"/>
      </w:pBdr>
      <w:spacing w:before="120" w:after="0"/>
      <w:jc w:val="center"/>
    </w:pPr>
    <w:rPr>
      <w:rFonts w:ascii="BernhardMod BT" w:hAnsi="BernhardMod BT" w:cs="BernhardMod BT"/>
      <w:b/>
      <w:i/>
      <w:sz w:val="30"/>
    </w:rPr>
  </w:style>
  <w:style w:type="paragraph" w:styleId="BodyText">
    <w:name w:val="Body Text"/>
    <w:basedOn w:val="Normal"/>
    <w:pPr>
      <w:spacing w:before="240" w:after="0"/>
      <w:jc w:val="center"/>
    </w:pPr>
    <w:rPr>
      <w:rFonts w:ascii="Bookman Old Style" w:hAnsi="Bookman Old Style" w:cs="Bookman Old Style"/>
      <w:b/>
      <w:i/>
      <w:sz w:val="3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1">
    <w:name w:val="Table Heading 1"/>
    <w:basedOn w:val="Normal"/>
    <w:qFormat/>
    <w:pPr>
      <w:keepNext w:val="true"/>
      <w:tabs>
        <w:tab w:val="clear" w:pos="720"/>
        <w:tab w:val="left" w:pos="4032" w:leader="none"/>
      </w:tabs>
      <w:spacing w:before="120" w:after="120"/>
      <w:jc w:val="center"/>
    </w:pPr>
    <w:rPr>
      <w:rFonts w:ascii="Times New Roman Bold" w:hAnsi="Times New Roman Bold" w:cs="Times New Roman Bold"/>
      <w:b/>
      <w:sz w:val="24"/>
    </w:rPr>
  </w:style>
  <w:style w:type="paragraph" w:styleId="Bullet1">
    <w:name w:val="Bullet 1"/>
    <w:basedOn w:val="Normal"/>
    <w:next w:val="BodyText1"/>
    <w:qFormat/>
    <w:pPr>
      <w:spacing w:before="120" w:after="0"/>
      <w:ind w:hanging="432" w:start="432" w:end="0"/>
    </w:pPr>
    <w:rPr/>
  </w:style>
  <w:style w:type="paragraph" w:styleId="Bullet2">
    <w:name w:val="Bullet 2"/>
    <w:basedOn w:val="Normal"/>
    <w:qFormat/>
    <w:pPr>
      <w:spacing w:before="120" w:after="0"/>
      <w:ind w:hanging="432" w:start="864" w:end="0"/>
    </w:pPr>
    <w:rPr>
      <w:sz w:val="24"/>
    </w:rPr>
  </w:style>
  <w:style w:type="paragraph" w:styleId="Bullet3">
    <w:name w:val="Bullet 3"/>
    <w:basedOn w:val="Normal"/>
    <w:qFormat/>
    <w:pPr/>
    <w:rPr>
      <w:sz w:val="26"/>
    </w:rPr>
  </w:style>
  <w:style w:type="paragraph" w:styleId="Indent1">
    <w:name w:val="Indent 1"/>
    <w:basedOn w:val="Normal"/>
    <w:qFormat/>
    <w:pPr>
      <w:ind w:hanging="0" w:start="432" w:end="0"/>
    </w:pPr>
    <w:rPr>
      <w:sz w:val="26"/>
    </w:rPr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0" w:start="1296" w:end="0"/>
    </w:pPr>
    <w:rPr>
      <w:sz w:val="26"/>
    </w:rPr>
  </w:style>
  <w:style w:type="paragraph" w:styleId="Bullet4">
    <w:name w:val="Bullet 4"/>
    <w:basedOn w:val="Normal"/>
    <w:qFormat/>
    <w:pPr/>
    <w:rPr>
      <w:sz w:val="26"/>
    </w:rPr>
  </w:style>
  <w:style w:type="paragraph" w:styleId="FootnoteText">
    <w:name w:val="footnote text"/>
    <w:basedOn w:val="Normal"/>
    <w:pPr>
      <w:ind w:hanging="288" w:start="288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ListNumber">
    <w:name w:val="List Number"/>
    <w:basedOn w:val="Normal"/>
    <w:qFormat/>
    <w:pPr>
      <w:numPr>
        <w:ilvl w:val="0"/>
        <w:numId w:val="8"/>
      </w:numPr>
      <w:ind w:hanging="432" w:start="432" w:end="0"/>
    </w:pPr>
    <w:rPr/>
  </w:style>
  <w:style w:type="paragraph" w:styleId="ListBullet">
    <w:name w:val="List Bullet"/>
    <w:basedOn w:val="Normal"/>
    <w:qFormat/>
    <w:pPr>
      <w:numPr>
        <w:ilvl w:val="0"/>
        <w:numId w:val="9"/>
      </w:numPr>
      <w:ind w:hanging="360" w:start="360" w:end="0"/>
    </w:pPr>
    <w:rPr/>
  </w:style>
  <w:style w:type="paragraph" w:styleId="AppendixHeading">
    <w:name w:val="Appendix Heading"/>
    <w:basedOn w:val="Normal"/>
    <w:qFormat/>
    <w:pPr>
      <w:spacing w:before="120" w:after="120"/>
      <w:jc w:val="center"/>
    </w:pPr>
    <w:rPr>
      <w:rFonts w:ascii="Times New Roman Bold" w:hAnsi="Times New Roman Bold" w:cs="Times New Roman Bold"/>
      <w:b/>
    </w:rPr>
  </w:style>
  <w:style w:type="paragraph" w:styleId="AppendixHeading1">
    <w:name w:val="Appendix Heading 1"/>
    <w:basedOn w:val="Normal"/>
    <w:next w:val="Normal"/>
    <w:qFormat/>
    <w:pPr>
      <w:numPr>
        <w:ilvl w:val="0"/>
        <w:numId w:val="2"/>
      </w:numPr>
      <w:spacing w:before="120" w:after="0"/>
    </w:pPr>
    <w:rPr>
      <w:b/>
      <w:sz w:val="24"/>
    </w:rPr>
  </w:style>
  <w:style w:type="paragraph" w:styleId="BodyText1">
    <w:name w:val="Body Text 1"/>
    <w:basedOn w:val="Normal"/>
    <w:qFormat/>
    <w:pPr>
      <w:spacing w:before="120" w:after="0"/>
      <w:ind w:hanging="0" w:start="432" w:end="0"/>
    </w:pPr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left" w:pos="432" w:leader="none"/>
        <w:tab w:val="right" w:pos="8630" w:leader="dot"/>
      </w:tabs>
      <w:spacing w:before="60" w:after="0"/>
      <w:ind w:hanging="432" w:start="432" w:end="0"/>
    </w:pPr>
    <w:rPr>
      <w:caps/>
    </w:rPr>
  </w:style>
  <w:style w:type="paragraph" w:styleId="TOC2">
    <w:name w:val="toc 2"/>
    <w:basedOn w:val="Normal"/>
    <w:next w:val="Normal"/>
    <w:pPr>
      <w:ind w:hanging="432" w:start="864" w:end="0"/>
    </w:pPr>
    <w:rPr/>
  </w:style>
  <w:style w:type="paragraph" w:styleId="OutlineBullet1">
    <w:name w:val="Outline Bullet 1"/>
    <w:basedOn w:val="Normal"/>
    <w:next w:val="BodyText1"/>
    <w:qFormat/>
    <w:pPr>
      <w:numPr>
        <w:ilvl w:val="0"/>
        <w:numId w:val="3"/>
      </w:numPr>
      <w:spacing w:before="180" w:after="0"/>
    </w:pPr>
    <w:rPr>
      <w:rFonts w:ascii="Times New Roman Bold" w:hAnsi="Times New Roman Bold" w:cs="Times New Roman Bold"/>
      <w:b/>
    </w:rPr>
  </w:style>
  <w:style w:type="paragraph" w:styleId="BodyText2">
    <w:name w:val="Body Text 2"/>
    <w:basedOn w:val="Normal"/>
    <w:qFormat/>
    <w:pPr>
      <w:spacing w:before="60" w:after="0"/>
      <w:ind w:hanging="0" w:start="864" w:end="0"/>
    </w:pPr>
    <w:rPr>
      <w:sz w:val="24"/>
    </w:rPr>
  </w:style>
  <w:style w:type="paragraph" w:styleId="BodyText3">
    <w:name w:val="Body Text 3"/>
    <w:basedOn w:val="Normal"/>
    <w:qFormat/>
    <w:pPr>
      <w:spacing w:before="60" w:after="0"/>
      <w:ind w:hanging="0" w:start="1296" w:end="0"/>
    </w:pPr>
    <w:rPr>
      <w:sz w:val="22"/>
    </w:rPr>
  </w:style>
  <w:style w:type="paragraph" w:styleId="BodyText4">
    <w:name w:val="Body Text 4"/>
    <w:basedOn w:val="Normal"/>
    <w:qFormat/>
    <w:pPr>
      <w:spacing w:before="60" w:after="0"/>
      <w:ind w:hanging="0" w:start="1728" w:end="0"/>
    </w:pPr>
    <w:rPr>
      <w:sz w:val="22"/>
    </w:rPr>
  </w:style>
  <w:style w:type="paragraph" w:styleId="OutlineBullet2">
    <w:name w:val="Outline Bullet 2"/>
    <w:basedOn w:val="Normal"/>
    <w:next w:val="BodyText2"/>
    <w:qFormat/>
    <w:pPr>
      <w:numPr>
        <w:ilvl w:val="0"/>
        <w:numId w:val="3"/>
      </w:numPr>
      <w:spacing w:before="120" w:after="0"/>
    </w:pPr>
    <w:rPr>
      <w:sz w:val="24"/>
    </w:rPr>
  </w:style>
  <w:style w:type="paragraph" w:styleId="GAIIBulletList0">
    <w:name w:val="GAII Bullet List 0"/>
    <w:basedOn w:val="Normal"/>
    <w:next w:val="GAIIBulletList1"/>
    <w:qFormat/>
    <w:pPr>
      <w:spacing w:before="240" w:after="0"/>
    </w:pPr>
    <w:rPr>
      <w:rFonts w:ascii="Times New Roman Bold" w:hAnsi="Times New Roman Bold" w:cs="Times New Roman Bold"/>
      <w:b/>
      <w:caps/>
      <w:sz w:val="28"/>
    </w:rPr>
  </w:style>
  <w:style w:type="paragraph" w:styleId="GAIIBulletList1">
    <w:name w:val="GAII Bullet List 1"/>
    <w:basedOn w:val="Normal"/>
    <w:next w:val="GAIIBulletList2"/>
    <w:qFormat/>
    <w:pPr>
      <w:numPr>
        <w:ilvl w:val="0"/>
        <w:numId w:val="6"/>
      </w:numPr>
      <w:spacing w:before="120" w:after="0"/>
    </w:pPr>
    <w:rPr>
      <w:rFonts w:ascii="Times New Roman Bold" w:hAnsi="Times New Roman Bold" w:cs="Times New Roman Bold"/>
      <w:b/>
    </w:rPr>
  </w:style>
  <w:style w:type="paragraph" w:styleId="GAIIBodyText0">
    <w:name w:val="GAII Body Text 0"/>
    <w:basedOn w:val="Normal"/>
    <w:qFormat/>
    <w:pPr>
      <w:spacing w:before="120" w:after="0"/>
    </w:pPr>
    <w:rPr/>
  </w:style>
  <w:style w:type="paragraph" w:styleId="GAIIBodyText1">
    <w:name w:val="GAII Body Text 1"/>
    <w:basedOn w:val="Normal"/>
    <w:qFormat/>
    <w:pPr>
      <w:spacing w:before="60" w:after="0"/>
      <w:ind w:hanging="0" w:start="432" w:end="0"/>
    </w:pPr>
    <w:rPr/>
  </w:style>
  <w:style w:type="paragraph" w:styleId="GAIIBulletList2">
    <w:name w:val="GAII Bullet List 2"/>
    <w:basedOn w:val="Normal"/>
    <w:next w:val="Normal"/>
    <w:qFormat/>
    <w:pPr>
      <w:numPr>
        <w:ilvl w:val="0"/>
        <w:numId w:val="5"/>
      </w:numPr>
      <w:tabs>
        <w:tab w:val="clear" w:pos="720"/>
        <w:tab w:val="left" w:pos="1728" w:leader="none"/>
      </w:tabs>
      <w:spacing w:before="60" w:after="0"/>
    </w:pPr>
    <w:rPr>
      <w:sz w:val="24"/>
    </w:rPr>
  </w:style>
  <w:style w:type="paragraph" w:styleId="GABulletList3">
    <w:name w:val="GA Bullet List 3"/>
    <w:basedOn w:val="Normal"/>
    <w:next w:val="Normal"/>
    <w:qFormat/>
    <w:pPr>
      <w:tabs>
        <w:tab w:val="clear" w:pos="720"/>
        <w:tab w:val="left" w:pos="1728" w:leader="none"/>
      </w:tabs>
      <w:spacing w:before="60" w:after="0"/>
      <w:ind w:hanging="0" w:start="0" w:end="432"/>
    </w:pPr>
    <w:rPr>
      <w:sz w:val="24"/>
    </w:rPr>
  </w:style>
  <w:style w:type="paragraph" w:styleId="GAIIBulletList3">
    <w:name w:val="GAII Bullet List 3"/>
    <w:basedOn w:val="Normal"/>
    <w:qFormat/>
    <w:pPr>
      <w:numPr>
        <w:ilvl w:val="0"/>
        <w:numId w:val="6"/>
      </w:numPr>
      <w:tabs>
        <w:tab w:val="clear" w:pos="720"/>
        <w:tab w:val="left" w:pos="1728" w:leader="none"/>
        <w:tab w:val="left" w:pos="2160" w:leader="none"/>
      </w:tabs>
      <w:spacing w:before="60" w:after="0"/>
      <w:ind w:hanging="0" w:start="0" w:end="432"/>
    </w:pPr>
    <w:rPr>
      <w:sz w:val="24"/>
    </w:rPr>
  </w:style>
  <w:style w:type="paragraph" w:styleId="GAIIBulletList4">
    <w:name w:val="GAII Bullet List 4"/>
    <w:basedOn w:val="Normal"/>
    <w:qFormat/>
    <w:pPr>
      <w:numPr>
        <w:ilvl w:val="0"/>
        <w:numId w:val="6"/>
      </w:numPr>
    </w:pPr>
    <w:rPr>
      <w:sz w:val="24"/>
    </w:rPr>
  </w:style>
  <w:style w:type="paragraph" w:styleId="GAIIBulletList5">
    <w:name w:val="GAII Bullet List 5"/>
    <w:basedOn w:val="Normal"/>
    <w:qFormat/>
    <w:pPr>
      <w:numPr>
        <w:ilvl w:val="0"/>
        <w:numId w:val="6"/>
      </w:numPr>
      <w:ind w:hanging="0" w:start="0" w:end="432"/>
    </w:pPr>
    <w:rPr>
      <w:sz w:val="24"/>
    </w:rPr>
  </w:style>
  <w:style w:type="paragraph" w:styleId="Bullet1-Memo">
    <w:name w:val="Bullet 1 - Memo"/>
    <w:basedOn w:val="Normal"/>
    <w:qFormat/>
    <w:pPr>
      <w:ind w:hanging="432" w:start="432" w:end="0"/>
    </w:pPr>
    <w:rPr>
      <w:sz w:val="28"/>
    </w:rPr>
  </w:style>
  <w:style w:type="paragraph" w:styleId="Indent1-Memo">
    <w:name w:val="Indent 1 - Memo"/>
    <w:basedOn w:val="Bullet1-Memo"/>
    <w:qFormat/>
    <w:pPr>
      <w:ind w:hanging="0" w:start="432" w:end="0"/>
    </w:pPr>
    <w:rPr/>
  </w:style>
  <w:style w:type="paragraph" w:styleId="Indent2-Memo">
    <w:name w:val="Indent 2 - Memo"/>
    <w:basedOn w:val="Normal"/>
    <w:qFormat/>
    <w:pPr>
      <w:ind w:hanging="0" w:start="864" w:end="432"/>
    </w:pPr>
    <w:rPr>
      <w:sz w:val="2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2000-11-03T13:03:00Z</dcterms:created>
  <dc:creator>Geoffrey Bellenger</dc:creator>
  <dc:description/>
  <dc:language>en-CA</dc:language>
  <cp:lastModifiedBy>A PG&amp;E Employee</cp:lastModifiedBy>
  <cp:lastPrinted>2000-11-03T07:43:00Z</cp:lastPrinted>
  <dcterms:modified xsi:type="dcterms:W3CDTF">2000-11-03T13:21:00Z</dcterms:modified>
  <cp:revision>5</cp:revision>
  <dc:subject/>
  <dc:title>Gas Accord II Settlement</dc:title>
</cp:coreProperties>
</file>