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pBdr>
          <w:bottom w:val="nil"/>
        </w:pBdr>
        <w:spacing w:before="120" w:after="120"/>
        <w:rPr/>
      </w:pPr>
      <w:r>
        <w:rPr/>
        <w:t>Gas Accord II Settlement</w:t>
      </w:r>
    </w:p>
    <w:p>
      <w:pPr>
        <w:pStyle w:val="BodyText"/>
        <w:rPr>
          <w:i w:val="false"/>
          <w:i w:val="false"/>
          <w:iCs/>
          <w:sz w:val="32"/>
        </w:rPr>
      </w:pPr>
      <w:bookmarkStart w:id="0" w:name="DocTitle1"/>
      <w:r>
        <w:rPr>
          <w:i w:val="false"/>
          <w:iCs/>
          <w:sz w:val="32"/>
        </w:rPr>
        <w:t>Workshop</w:t>
      </w:r>
      <w:bookmarkEnd w:id="0"/>
    </w:p>
    <w:p>
      <w:pPr>
        <w:pStyle w:val="Normal"/>
        <w:jc w:val="center"/>
        <w:rPr>
          <w:rFonts w:ascii="Georgia" w:hAnsi="Georgia" w:cs="Georgia"/>
          <w:b/>
          <w:sz w:val="28"/>
        </w:rPr>
      </w:pPr>
      <w:r>
        <w:rPr>
          <w:rFonts w:cs="Georgia" w:ascii="Georgia" w:hAnsi="Georgia"/>
          <w:b/>
          <w:sz w:val="28"/>
        </w:rPr>
        <w:t>October 25, 2000, 9:30 a.m. to 3:30 p.m.</w:t>
      </w:r>
    </w:p>
    <w:p>
      <w:pPr>
        <w:pStyle w:val="Normal"/>
        <w:jc w:val="center"/>
        <w:rPr>
          <w:rFonts w:ascii="Georgia" w:hAnsi="Georgia" w:cs="Georgia"/>
        </w:rPr>
      </w:pPr>
      <w:r>
        <w:rPr>
          <w:rFonts w:cs="Georgia" w:ascii="Georgia" w:hAnsi="Georgia"/>
        </w:rPr>
        <w:t>(Conference Room 300, 77 Beale Street, San Francisco)</w:t>
      </w:r>
    </w:p>
    <w:p>
      <w:pPr>
        <w:pStyle w:val="Normal"/>
        <w:spacing w:before="120" w:after="0"/>
        <w:jc w:val="center"/>
        <w:rPr/>
      </w:pPr>
      <w:r>
        <w:rPr/>
        <w:t>AGENDA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8010"/>
        <w:gridCol w:w="1620"/>
      </w:tblGrid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Begin at 9:30 a.m.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snapToGrid w:val="false"/>
              <w:spacing w:before="120" w:after="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80" w:after="0"/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80" w:after="0"/>
              <w:rPr>
                <w:b/>
              </w:rPr>
            </w:pPr>
            <w:r>
              <w:rPr>
                <w:b/>
              </w:rPr>
              <w:t>Balancing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80" w:after="0"/>
              <w:rPr>
                <w:b/>
              </w:rPr>
            </w:pPr>
            <w:r>
              <w:rPr>
                <w:b/>
              </w:rPr>
              <w:t>Transaction Information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240" w:after="240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240" w:after="240"/>
              <w:jc w:val="center"/>
              <w:rPr>
                <w:bCs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Lunch from 12:00 to 1:00 p.m.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snapToGrid w:val="false"/>
              <w:spacing w:before="120" w:after="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80" w:after="0"/>
              <w:rPr>
                <w:b/>
              </w:rPr>
            </w:pPr>
            <w:r>
              <w:rPr>
                <w:b/>
              </w:rPr>
              <w:t>Open-Season Rules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80" w:after="0"/>
              <w:rPr>
                <w:b/>
              </w:rPr>
            </w:pPr>
            <w:r>
              <w:rPr>
                <w:b/>
              </w:rPr>
              <w:t>Feedback Discussion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4"/>
              </w:numPr>
              <w:spacing w:before="180" w:after="0"/>
              <w:rPr>
                <w:b/>
              </w:rPr>
            </w:pPr>
            <w:r>
              <w:rPr>
                <w:b/>
              </w:rPr>
              <w:t>Close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Adjourn around 3:30 p.m.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snapToGrid w:val="false"/>
              <w:spacing w:before="120" w:after="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</w:tbl>
    <w:p>
      <w:pPr>
        <w:pStyle w:val="Bullet3"/>
        <w:pBdr>
          <w:bottom w:val="thickThinSmallGap" w:sz="12" w:space="1" w:color="000000"/>
        </w:pBdr>
        <w:rPr/>
      </w:pPr>
      <w:r>
        <w:rPr/>
      </w:r>
      <w:bookmarkStart w:id="1" w:name="DocTitle2"/>
      <w:bookmarkStart w:id="2" w:name="DocTitle2"/>
    </w:p>
    <w:p>
      <w:pPr>
        <w:pStyle w:val="Bullet3"/>
        <w:pBdr>
          <w:bottom w:val="thickThinSmallGap" w:sz="12" w:space="1" w:color="000000"/>
        </w:pBdr>
        <w:rPr/>
      </w:pPr>
      <w:r>
        <w:rPr/>
      </w:r>
    </w:p>
    <w:p>
      <w:pPr>
        <w:pStyle w:val="Heading3"/>
        <w:rPr>
          <w:sz w:val="32"/>
        </w:rPr>
      </w:pPr>
      <w:bookmarkStart w:id="3" w:name="DocTitle2"/>
      <w:r>
        <w:rPr>
          <w:sz w:val="32"/>
        </w:rPr>
        <w:t>Workshop</w:t>
      </w:r>
      <w:bookmarkEnd w:id="3"/>
    </w:p>
    <w:p>
      <w:pPr>
        <w:pStyle w:val="Heading4"/>
        <w:rPr/>
      </w:pPr>
      <w:r>
        <w:rPr/>
        <w:t>October 26, 2000, 9:00 a.m. to Noon</w:t>
      </w:r>
    </w:p>
    <w:p>
      <w:pPr>
        <w:pStyle w:val="Normal"/>
        <w:jc w:val="center"/>
        <w:rPr>
          <w:rFonts w:ascii="Georgia" w:hAnsi="Georgia" w:cs="Georgia"/>
        </w:rPr>
      </w:pPr>
      <w:r>
        <w:rPr>
          <w:rFonts w:cs="Georgia" w:ascii="Georgia" w:hAnsi="Georgia"/>
        </w:rPr>
        <w:t>(Conference Room 300, 77 Beale Street, San Francisco)</w:t>
      </w:r>
    </w:p>
    <w:p>
      <w:pPr>
        <w:pStyle w:val="Heading2"/>
        <w:rPr/>
      </w:pPr>
      <w:r>
        <w:rPr/>
        <w:t>AGENDA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8010"/>
        <w:gridCol w:w="1620"/>
      </w:tblGrid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Begin at 9:00 a.m.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snapToGrid w:val="false"/>
              <w:spacing w:before="120" w:after="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Cs/>
                <w:sz w:val="22"/>
              </w:rPr>
            </w:pPr>
            <w:r>
              <w:rPr>
                <w:bCs/>
                <w:sz w:val="22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80" w:after="0"/>
              <w:rPr>
                <w:b/>
              </w:rPr>
            </w:pPr>
            <w:r>
              <w:rPr>
                <w:b/>
              </w:rPr>
              <w:t>Welcome and Introductions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80" w:after="0"/>
              <w:rPr>
                <w:b/>
              </w:rPr>
            </w:pPr>
            <w:r>
              <w:rPr>
                <w:b/>
              </w:rPr>
              <w:t>PG&amp;E Core Procurement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80" w:after="0"/>
              <w:rPr>
                <w:b/>
              </w:rPr>
            </w:pPr>
            <w:r>
              <w:rPr>
                <w:b/>
              </w:rPr>
              <w:t>Core Energy Service Providers (ESPs or Core Aggregators)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8010" w:type="dxa"/>
            <w:tcBorders/>
          </w:tcPr>
          <w:p>
            <w:pPr>
              <w:pStyle w:val="Bullet1-Memo"/>
              <w:keepNext w:val="true"/>
              <w:numPr>
                <w:ilvl w:val="0"/>
                <w:numId w:val="7"/>
              </w:numPr>
              <w:spacing w:before="180" w:after="0"/>
              <w:rPr>
                <w:b/>
              </w:rPr>
            </w:pPr>
            <w:r>
              <w:rPr>
                <w:b/>
              </w:rPr>
              <w:t>Next Steps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keepNext w:val="true"/>
              <w:snapToGrid w:val="false"/>
              <w:spacing w:before="180" w:after="0"/>
              <w:ind w:hanging="0" w:start="0" w:end="0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</w:r>
          </w:p>
        </w:tc>
        <w:tc>
          <w:tcPr>
            <w:tcW w:w="8010" w:type="dxa"/>
            <w:tcBorders/>
          </w:tcPr>
          <w:p>
            <w:pPr>
              <w:pStyle w:val="Normal"/>
              <w:spacing w:before="240" w:after="120"/>
              <w:jc w:val="center"/>
              <w:rPr>
                <w:rFonts w:ascii="BernhardMod BT" w:hAnsi="BernhardMod BT" w:cs="BernhardMod BT"/>
                <w:bCs/>
                <w:i/>
                <w:i/>
                <w:sz w:val="30"/>
              </w:rPr>
            </w:pPr>
            <w:r>
              <w:rPr>
                <w:rFonts w:cs="BernhardMod BT" w:ascii="BernhardMod BT" w:hAnsi="BernhardMod BT"/>
                <w:bCs/>
                <w:i/>
                <w:sz w:val="30"/>
              </w:rPr>
              <w:t>Adjourn around Noon</w:t>
            </w:r>
          </w:p>
        </w:tc>
        <w:tc>
          <w:tcPr>
            <w:tcW w:w="1620" w:type="dxa"/>
            <w:tcBorders/>
          </w:tcPr>
          <w:p>
            <w:pPr>
              <w:pStyle w:val="Bullet1-Memo"/>
              <w:snapToGrid w:val="false"/>
              <w:spacing w:before="120" w:after="0"/>
              <w:rPr>
                <w:rFonts w:ascii="BernhardMod BT" w:hAnsi="BernhardMod BT" w:cs="BernhardMod BT"/>
                <w:bCs/>
                <w:i/>
                <w:i/>
                <w:sz w:val="22"/>
              </w:rPr>
            </w:pPr>
            <w:r>
              <w:rPr>
                <w:rFonts w:cs="BernhardMod BT" w:ascii="BernhardMod BT" w:hAnsi="BernhardMod BT"/>
                <w:bCs/>
                <w:i/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2240" w:h="15840"/>
      <w:pgMar w:left="1008" w:right="1008" w:gutter="0" w:header="576" w:top="1008" w:footer="0" w:bottom="100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charset w:val="00" w:characterSet="windows-1252"/>
    <w:family w:val="roman"/>
    <w:pitch w:val="default"/>
  </w:font>
  <w:font w:name="Bookman Old Style">
    <w:charset w:val="00" w:characterSet="windows-1252"/>
    <w:family w:val="roman"/>
    <w:pitch w:val="variable"/>
  </w:font>
  <w:font w:name="Georgia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BernhardMod BT">
    <w:charset w:val="00" w:characterSet="windows-1252"/>
    <w:family w:val="roman"/>
    <w:pitch w:val="variable"/>
  </w:font>
  <w:font w:name="Book Antiqua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Confidential – For Settlement Purposes Only</w:t>
    </w:r>
  </w:p>
  <w:p>
    <w:pPr>
      <w:pStyle w:val="Header"/>
      <w:rPr>
        <w:rFonts w:ascii="BernhardMod BT" w:hAnsi="BernhardMod BT" w:cs="BernhardMod BT"/>
        <w:b/>
        <w:i/>
        <w:i/>
        <w:sz w:val="30"/>
      </w:rPr>
    </w:pPr>
    <w:r>
      <w:rPr>
        <w:rFonts w:cs="BernhardMod BT" w:ascii="BernhardMod BT" w:hAnsi="BernhardMod BT"/>
        <w:b/>
        <w:i/>
        <w:sz w:val="30"/>
      </w:rPr>
      <w:t>Gas Accord II Settlement</w:t>
    </w:r>
  </w:p>
  <w:p>
    <w:pPr>
      <w:pStyle w:val="Header"/>
      <w:rPr>
        <w:rFonts w:ascii="Bookman Old Style" w:hAnsi="Bookman Old Style" w:cs="Bookman Old Style"/>
        <w:b/>
        <w:i/>
        <w:i/>
        <w:sz w:val="28"/>
      </w:rPr>
    </w:pPr>
    <w:r>
      <w:rPr>
        <w:rFonts w:cs="Bookman Old Style" w:ascii="Bookman Old Style" w:hAnsi="Bookman Old Style"/>
        <w:b/>
        <w:i/>
        <w:sz w:val="28"/>
      </w:rPr>
      <w:fldChar w:fldCharType="begin"/>
    </w:r>
    <w:r>
      <w:rPr>
        <w:sz w:val="28"/>
        <w:i/>
        <w:b/>
        <w:rFonts w:cs="Bookman Old Style" w:ascii="Bookman Old Style" w:hAnsi="Bookman Old Style"/>
      </w:rPr>
      <w:instrText xml:space="preserve"> REF DocTitle2 \h </w:instrText>
    </w:r>
    <w:r>
      <w:rPr>
        <w:sz w:val="28"/>
        <w:i/>
        <w:b/>
        <w:rFonts w:cs="Bookman Old Style" w:ascii="Bookman Old Style" w:hAnsi="Bookman Old Style"/>
      </w:rPr>
      <w:fldChar w:fldCharType="separate"/>
    </w:r>
    <w:r>
      <w:rPr>
        <w:sz w:val="28"/>
        <w:i/>
        <w:b/>
        <w:rFonts w:cs="Bookman Old Style" w:ascii="Bookman Old Style" w:hAnsi="Bookman Old Style"/>
      </w:rPr>
    </w:r>
    <w:r>
      <w:rPr>
        <w:sz w:val="28"/>
        <w:i/>
        <w:b/>
        <w:rFonts w:cs="Bookman Old Style" w:ascii="Bookman Old Style" w:hAnsi="Bookman Old Style"/>
      </w:rPr>
      <w:fldChar w:fldCharType="end"/>
    </w:r>
  </w:p>
  <w:p>
    <w:pPr>
      <w:pStyle w:val="Header"/>
      <w:rPr>
        <w:rFonts w:ascii="Bookman Old Style" w:hAnsi="Bookman Old Style" w:cs="Bookman Old Style"/>
        <w:b/>
        <w:i/>
        <w:i/>
        <w:sz w:val="28"/>
      </w:rPr>
    </w:pPr>
    <w:r>
      <w:rPr>
        <w:rFonts w:cs="Bookman Old Style" w:ascii="Bookman Old Style" w:hAnsi="Bookman Old Style"/>
        <w:b/>
        <w:i/>
        <w:sz w:val="28"/>
      </w:rPr>
      <w:fldChar w:fldCharType="begin"/>
    </w:r>
    <w:r>
      <w:rPr>
        <w:sz w:val="28"/>
        <w:i/>
        <w:b/>
        <w:rFonts w:cs="Bookman Old Style" w:ascii="Bookman Old Style" w:hAnsi="Bookman Old Style"/>
      </w:rPr>
      <w:instrText xml:space="preserve"> REF DocDate \h </w:instrText>
    </w:r>
    <w:r>
      <w:rPr>
        <w:sz w:val="28"/>
        <w:i/>
        <w:b/>
        <w:rFonts w:cs="Bookman Old Style" w:ascii="Bookman Old Style" w:hAnsi="Bookman Old Style"/>
      </w:rPr>
      <w:fldChar w:fldCharType="separate"/>
    </w:r>
    <w:r>
      <w:rPr>
        <w:sz w:val="28"/>
        <w:i/>
        <w:b/>
        <w:rFonts w:cs="Bookman Old Style" w:ascii="Bookman Old Style" w:hAnsi="Bookman Old Style"/>
      </w:rPr>
      <w:t>Error: Reference source not found</w:t>
    </w:r>
    <w:r>
      <w:rPr>
        <w:sz w:val="28"/>
        <w:i/>
        <w:b/>
        <w:rFonts w:cs="Bookman Old Style" w:ascii="Bookman Old Style" w:hAnsi="Bookman Old Style"/>
      </w:rPr>
      <w:fldChar w:fldCharType="end"/>
    </w:r>
  </w:p>
  <w:p>
    <w:pPr>
      <w:pStyle w:val="Header"/>
      <w:rPr>
        <w:b/>
        <w:i/>
        <w:i/>
      </w:rPr>
    </w:pPr>
    <w:r>
      <w:rPr>
        <w:b/>
        <w:i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sz w:val="20"/>
      </w:rPr>
    </w:pPr>
    <w:r>
      <w:rPr>
        <w:sz w:val="20"/>
      </w:rPr>
      <w:t>Confidential – For Settlement Purposes Pursuant To CPUC Rule 51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numFmt w:val="upperLetter"/>
      <w:lvlText w:val="%2."/>
      <w:lvlJc w:val="start"/>
      <w:pPr>
        <w:tabs>
          <w:tab w:val="num" w:pos="792"/>
        </w:tabs>
        <w:ind w:start="432" w:hanging="0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</w:abstractNum>
  <w:abstractNum w:abstractNumId="3">
    <w:lvl w:ilvl="0">
      <w:start w:val="1"/>
      <w:numFmt w:val="upperRoman"/>
      <w:lvlText w:val="%1."/>
      <w:lvlJc w:val="start"/>
      <w:pPr>
        <w:tabs>
          <w:tab w:val="num" w:pos="720"/>
        </w:tabs>
        <w:ind w:start="432" w:hanging="432"/>
      </w:pPr>
    </w:lvl>
    <w:lvl w:ilvl="1">
      <w:start w:val="1"/>
      <w:numFmt w:val="upperLetter"/>
      <w:lvlText w:val="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432"/>
        </w:tabs>
        <w:ind w:start="864" w:hanging="432"/>
      </w:pPr>
    </w:lvl>
    <w:lvl w:ilvl="2">
      <w:start w:val="1"/>
      <w:numFmt w:val="lowerLetter"/>
      <w:lvlText w:val="%3."/>
      <w:lvlJc w:val="start"/>
      <w:pPr>
        <w:tabs>
          <w:tab w:val="num" w:pos="432"/>
        </w:tabs>
        <w:ind w:start="1296" w:hanging="432"/>
      </w:pPr>
    </w:lvl>
    <w:lvl w:ilvl="3">
      <w:start w:val="1"/>
      <w:numFmt w:val="lowerRoman"/>
      <w:lvlText w:val="%4."/>
      <w:lvlJc w:val="start"/>
      <w:pPr>
        <w:tabs>
          <w:tab w:val="num" w:pos="432"/>
        </w:tabs>
        <w:ind w:start="1728" w:hanging="432"/>
      </w:pPr>
    </w:lvl>
    <w:lvl w:ilvl="4">
      <w:start w:val="1"/>
      <w:numFmt w:val="decimal"/>
      <w:lvlText w:val=".%5"/>
      <w:lvlJc w:val="start"/>
      <w:pPr>
        <w:tabs>
          <w:tab w:val="num" w:pos="1008"/>
        </w:tabs>
        <w:ind w:start="2736" w:hanging="1008"/>
      </w:pPr>
    </w:lvl>
    <w:lvl w:ilvl="5">
      <w:start w:val="1"/>
      <w:numFmt w:val="decimal"/>
      <w:lvlText w:val=".%6"/>
      <w:lvlJc w:val="start"/>
      <w:pPr>
        <w:tabs>
          <w:tab w:val="num" w:pos="1152"/>
        </w:tabs>
        <w:ind w:start="3888" w:hanging="1152"/>
      </w:pPr>
    </w:lvl>
    <w:lvl w:ilvl="6">
      <w:start w:val="1"/>
      <w:numFmt w:val="decimal"/>
      <w:lvlText w:val=".%7"/>
      <w:lvlJc w:val="start"/>
      <w:pPr>
        <w:tabs>
          <w:tab w:val="num" w:pos="1296"/>
        </w:tabs>
        <w:ind w:start="5184" w:hanging="1296"/>
      </w:pPr>
    </w:lvl>
    <w:lvl w:ilvl="7">
      <w:start w:val="1"/>
      <w:numFmt w:val="decimal"/>
      <w:lvlText w:val=".%8"/>
      <w:lvlJc w:val="start"/>
      <w:pPr>
        <w:tabs>
          <w:tab w:val="num" w:pos="1440"/>
        </w:tabs>
        <w:ind w:start="6624" w:hanging="1440"/>
      </w:pPr>
    </w:lvl>
    <w:lvl w:ilvl="8">
      <w:start w:val="1"/>
      <w:numFmt w:val="decimal"/>
      <w:lvlText w:val=".%9"/>
      <w:lvlJc w:val="start"/>
      <w:pPr>
        <w:tabs>
          <w:tab w:val="num" w:pos="1584"/>
        </w:tabs>
        <w:ind w:start="8208" w:hanging="1584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1.%2."/>
      <w:lvlJc w:val="start"/>
      <w:pPr>
        <w:tabs>
          <w:tab w:val="num" w:pos="864"/>
        </w:tabs>
        <w:ind w:start="864" w:hanging="432"/>
      </w:pPr>
    </w:lvl>
    <w:lvl w:ilvl="2">
      <w:start w:val="1"/>
      <w:numFmt w:val="decimal"/>
      <w:lvlText w:val="%1.%2.%3."/>
      <w:lvlJc w:val="start"/>
      <w:pPr>
        <w:tabs>
          <w:tab w:val="num" w:pos="1584"/>
        </w:tabs>
        <w:ind w:start="1296" w:hanging="432"/>
      </w:pPr>
    </w:lvl>
    <w:lvl w:ilvl="3">
      <w:start w:val="1"/>
      <w:numFmt w:val="decimal"/>
      <w:lvlText w:val="%1.%2.%3.%4."/>
      <w:lvlJc w:val="start"/>
      <w:pPr>
        <w:tabs>
          <w:tab w:val="num" w:pos="2376"/>
        </w:tabs>
        <w:ind w:start="1728" w:hanging="432"/>
      </w:pPr>
    </w:lvl>
    <w:lvl w:ilvl="4">
      <w:start w:val="1"/>
      <w:numFmt w:val="decimal"/>
      <w:lvlText w:val="%1.%2.%3.%4.%5."/>
      <w:lvlJc w:val="start"/>
      <w:pPr>
        <w:tabs>
          <w:tab w:val="num" w:pos="2808"/>
        </w:tabs>
        <w:ind w:start="2448" w:hanging="720"/>
      </w:pPr>
    </w:lvl>
    <w:lvl w:ilvl="5">
      <w:start w:val="1"/>
      <w:numFmt w:val="decimal"/>
      <w:lvlText w:val="%1.%2.%3.%4.%5.%6."/>
      <w:lvlJc w:val="start"/>
      <w:pPr>
        <w:tabs>
          <w:tab w:val="num" w:pos="3600"/>
        </w:tabs>
        <w:ind w:start="2880" w:hanging="720"/>
      </w:pPr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68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1.%2."/>
      <w:lvlJc w:val="start"/>
      <w:pPr>
        <w:tabs>
          <w:tab w:val="num" w:pos="1008"/>
        </w:tabs>
        <w:ind w:start="1008" w:hanging="576"/>
      </w:pPr>
    </w:lvl>
    <w:lvl w:ilvl="2">
      <w:start w:val="1"/>
      <w:numFmt w:val="decimal"/>
      <w:lvlText w:val="%1.%2.%3."/>
      <w:lvlJc w:val="start"/>
      <w:pPr>
        <w:tabs>
          <w:tab w:val="num" w:pos="1584"/>
        </w:tabs>
        <w:ind w:start="1296" w:hanging="432"/>
      </w:pPr>
    </w:lvl>
    <w:lvl w:ilvl="3">
      <w:start w:val="1"/>
      <w:numFmt w:val="decimal"/>
      <w:lvlText w:val="%1.%2.%3.%4."/>
      <w:lvlJc w:val="start"/>
      <w:pPr>
        <w:tabs>
          <w:tab w:val="num" w:pos="2376"/>
        </w:tabs>
        <w:ind w:start="1728" w:hanging="432"/>
      </w:pPr>
    </w:lvl>
    <w:lvl w:ilvl="4">
      <w:start w:val="1"/>
      <w:numFmt w:val="decimal"/>
      <w:lvlText w:val="%1.%2.%3.%4.%5."/>
      <w:lvlJc w:val="start"/>
      <w:pPr>
        <w:tabs>
          <w:tab w:val="num" w:pos="2808"/>
        </w:tabs>
        <w:ind w:start="2448" w:hanging="720"/>
      </w:pPr>
    </w:lvl>
    <w:lvl w:ilvl="5">
      <w:start w:val="1"/>
      <w:numFmt w:val="decimal"/>
      <w:lvlText w:val="%1.%2.%3.%4.%5.%6."/>
      <w:lvlJc w:val="start"/>
      <w:pPr>
        <w:tabs>
          <w:tab w:val="num" w:pos="3600"/>
        </w:tabs>
        <w:ind w:start="2880" w:hanging="720"/>
      </w:pPr>
    </w:lvl>
    <w:lvl w:ilvl="6">
      <w:start w:val="1"/>
      <w:numFmt w:val="decimal"/>
      <w:lvlText w:val="%1.%2.%3.%4.%5.%6.%7."/>
      <w:lvlJc w:val="start"/>
      <w:pPr>
        <w:tabs>
          <w:tab w:val="num" w:pos="3960"/>
        </w:tabs>
        <w:ind w:start="3240" w:hanging="1080"/>
      </w:pPr>
    </w:lvl>
    <w:lvl w:ilvl="7">
      <w:start w:val="1"/>
      <w:numFmt w:val="decimal"/>
      <w:lvlText w:val="%1.%2.%3.%4.%5.%6.%7.%8."/>
      <w:lvlJc w:val="start"/>
      <w:pPr>
        <w:tabs>
          <w:tab w:val="num" w:pos="4680"/>
        </w:tabs>
        <w:ind w:start="3744" w:hanging="1224"/>
      </w:pPr>
    </w:lvl>
    <w:lvl w:ilvl="8">
      <w:start w:val="1"/>
      <w:numFmt w:val="decimal"/>
      <w:lvlText w:val="%1.%2.%3.%4.%5.%6.%7.%8.%9."/>
      <w:lvlJc w:val="start"/>
      <w:pPr>
        <w:tabs>
          <w:tab w:val="num" w:pos="5040"/>
        </w:tabs>
        <w:ind w:start="4320" w:hanging="1440"/>
      </w:pPr>
    </w:lvl>
  </w:abstractNum>
  <w:abstractNum w:abstractNumId="7">
    <w:lvl w:ilvl="0">
      <w:start w:val="1"/>
      <w:numFmt w:val="upperLetter"/>
      <w:lvlText w:val="%1."/>
      <w:lvlJc w:val="start"/>
      <w:pPr>
        <w:tabs>
          <w:tab w:val="num" w:pos="432"/>
        </w:tabs>
        <w:ind w:start="432" w:hanging="432"/>
      </w:pPr>
    </w:lvl>
    <w:lvl w:ilvl="1">
      <w:start w:val="1"/>
      <w:numFmt w:val="decimal"/>
      <w:lvlText w:val="%2."/>
      <w:lvlJc w:val="start"/>
      <w:pPr>
        <w:tabs>
          <w:tab w:val="num" w:pos="432"/>
        </w:tabs>
        <w:ind w:start="864" w:hanging="432"/>
      </w:pPr>
    </w:lvl>
    <w:lvl w:ilvl="2">
      <w:start w:val="1"/>
      <w:numFmt w:val="lowerLetter"/>
      <w:lvlText w:val="%3."/>
      <w:lvlJc w:val="start"/>
      <w:pPr>
        <w:tabs>
          <w:tab w:val="num" w:pos="432"/>
        </w:tabs>
        <w:ind w:start="1296" w:hanging="432"/>
      </w:pPr>
    </w:lvl>
    <w:lvl w:ilvl="3">
      <w:start w:val="1"/>
      <w:numFmt w:val="lowerRoman"/>
      <w:lvlText w:val="%4."/>
      <w:lvlJc w:val="start"/>
      <w:pPr>
        <w:tabs>
          <w:tab w:val="num" w:pos="432"/>
        </w:tabs>
        <w:ind w:start="1728" w:hanging="432"/>
      </w:pPr>
    </w:lvl>
    <w:lvl w:ilvl="4">
      <w:start w:val="1"/>
      <w:numFmt w:val="decimal"/>
      <w:lvlText w:val=".%5"/>
      <w:lvlJc w:val="start"/>
      <w:pPr>
        <w:tabs>
          <w:tab w:val="num" w:pos="1008"/>
        </w:tabs>
        <w:ind w:start="2736" w:hanging="1008"/>
      </w:pPr>
    </w:lvl>
    <w:lvl w:ilvl="5">
      <w:start w:val="1"/>
      <w:numFmt w:val="decimal"/>
      <w:lvlText w:val=".%6"/>
      <w:lvlJc w:val="start"/>
      <w:pPr>
        <w:tabs>
          <w:tab w:val="num" w:pos="1152"/>
        </w:tabs>
        <w:ind w:start="3888" w:hanging="1152"/>
      </w:pPr>
    </w:lvl>
    <w:lvl w:ilvl="6">
      <w:start w:val="1"/>
      <w:numFmt w:val="decimal"/>
      <w:lvlText w:val=".%7"/>
      <w:lvlJc w:val="start"/>
      <w:pPr>
        <w:tabs>
          <w:tab w:val="num" w:pos="1296"/>
        </w:tabs>
        <w:ind w:start="5184" w:hanging="1296"/>
      </w:pPr>
    </w:lvl>
    <w:lvl w:ilvl="7">
      <w:start w:val="1"/>
      <w:numFmt w:val="decimal"/>
      <w:lvlText w:val=".%8"/>
      <w:lvlJc w:val="start"/>
      <w:pPr>
        <w:tabs>
          <w:tab w:val="num" w:pos="1440"/>
        </w:tabs>
        <w:ind w:start="6624" w:hanging="1440"/>
      </w:pPr>
    </w:lvl>
    <w:lvl w:ilvl="8">
      <w:start w:val="1"/>
      <w:numFmt w:val="decimal"/>
      <w:lvlText w:val=".%9"/>
      <w:lvlJc w:val="start"/>
      <w:pPr>
        <w:tabs>
          <w:tab w:val="num" w:pos="1584"/>
        </w:tabs>
        <w:ind w:start="8208" w:hanging="1584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9">
    <w:lvl w:ilvl="0">
      <w:start w:val="1"/>
      <w:numFmt w:val="decimal"/>
      <w:lvlText w:val="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6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432" w:leader="none"/>
      </w:tabs>
      <w:spacing w:before="240" w:after="0"/>
      <w:outlineLvl w:val="0"/>
    </w:pPr>
    <w:rPr>
      <w:rFonts w:ascii="Times New Roman Bold" w:hAnsi="Times New Roman Bold" w:cs="Times New Roman Bold"/>
      <w:b/>
      <w:caps/>
    </w:rPr>
  </w:style>
  <w:style w:type="paragraph" w:styleId="Heading2">
    <w:name w:val="heading 2"/>
    <w:basedOn w:val="Normal"/>
    <w:next w:val="Normal"/>
    <w:qFormat/>
    <w:pPr>
      <w:keepNext w:val="true"/>
      <w:spacing w:before="120" w:after="0"/>
      <w:jc w:val="center"/>
      <w:outlineLvl w:val="1"/>
    </w:pPr>
    <w:rPr>
      <w:rFonts w:ascii="Bookman Old Style" w:hAnsi="Bookman Old Style" w:cs="Bookman Old Style"/>
      <w:b/>
      <w:sz w:val="32"/>
    </w:rPr>
  </w:style>
  <w:style w:type="paragraph" w:styleId="Heading3">
    <w:name w:val="heading 3"/>
    <w:basedOn w:val="Normal"/>
    <w:next w:val="Normal"/>
    <w:qFormat/>
    <w:pPr>
      <w:keepNext w:val="true"/>
      <w:spacing w:before="240" w:after="0"/>
      <w:jc w:val="center"/>
      <w:outlineLvl w:val="2"/>
    </w:pPr>
    <w:rPr>
      <w:rFonts w:ascii="Bookman Old Style" w:hAnsi="Bookman Old Style" w:cs="Bookman Old Style"/>
      <w:b/>
      <w:sz w:val="30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Georgia" w:hAnsi="Georgia" w:cs="Georgia"/>
      <w:b/>
      <w:sz w:val="2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pBdr>
        <w:bottom w:val="thickThinSmallGap" w:sz="12" w:space="1" w:color="000000"/>
      </w:pBdr>
      <w:spacing w:before="120" w:after="0"/>
      <w:jc w:val="center"/>
    </w:pPr>
    <w:rPr>
      <w:rFonts w:ascii="BernhardMod BT" w:hAnsi="BernhardMod BT" w:cs="BernhardMod BT"/>
      <w:b/>
      <w:i/>
      <w:sz w:val="30"/>
    </w:rPr>
  </w:style>
  <w:style w:type="paragraph" w:styleId="BodyText">
    <w:name w:val="Body Text"/>
    <w:basedOn w:val="Normal"/>
    <w:pPr>
      <w:spacing w:before="240" w:after="0"/>
      <w:jc w:val="center"/>
    </w:pPr>
    <w:rPr>
      <w:rFonts w:ascii="Bookman Old Style" w:hAnsi="Bookman Old Style" w:cs="Bookman Old Style"/>
      <w:b/>
      <w:i/>
      <w:sz w:val="3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Heading1">
    <w:name w:val="Table Heading 1"/>
    <w:basedOn w:val="Normal"/>
    <w:qFormat/>
    <w:pPr>
      <w:keepNext w:val="true"/>
      <w:tabs>
        <w:tab w:val="clear" w:pos="720"/>
        <w:tab w:val="left" w:pos="4032" w:leader="none"/>
      </w:tabs>
      <w:spacing w:before="120" w:after="120"/>
      <w:jc w:val="center"/>
    </w:pPr>
    <w:rPr>
      <w:rFonts w:ascii="Times New Roman Bold" w:hAnsi="Times New Roman Bold" w:cs="Times New Roman Bold"/>
      <w:b/>
      <w:sz w:val="24"/>
    </w:rPr>
  </w:style>
  <w:style w:type="paragraph" w:styleId="Bullet1">
    <w:name w:val="Bullet 1"/>
    <w:basedOn w:val="Normal"/>
    <w:next w:val="BodyText1"/>
    <w:qFormat/>
    <w:pPr>
      <w:spacing w:before="120" w:after="0"/>
      <w:ind w:hanging="432" w:start="432" w:end="0"/>
    </w:pPr>
    <w:rPr/>
  </w:style>
  <w:style w:type="paragraph" w:styleId="Bullet2">
    <w:name w:val="Bullet 2"/>
    <w:basedOn w:val="Normal"/>
    <w:qFormat/>
    <w:pPr>
      <w:spacing w:before="120" w:after="0"/>
      <w:ind w:hanging="432" w:start="864" w:end="0"/>
    </w:pPr>
    <w:rPr>
      <w:sz w:val="24"/>
    </w:rPr>
  </w:style>
  <w:style w:type="paragraph" w:styleId="Bullet3">
    <w:name w:val="Bullet 3"/>
    <w:basedOn w:val="Normal"/>
    <w:qFormat/>
    <w:pPr/>
    <w:rPr>
      <w:sz w:val="26"/>
    </w:rPr>
  </w:style>
  <w:style w:type="paragraph" w:styleId="Indent1">
    <w:name w:val="Indent 1"/>
    <w:basedOn w:val="Normal"/>
    <w:qFormat/>
    <w:pPr>
      <w:ind w:hanging="0" w:start="432" w:end="0"/>
    </w:pPr>
    <w:rPr>
      <w:sz w:val="26"/>
    </w:rPr>
  </w:style>
  <w:style w:type="paragraph" w:styleId="Indent2">
    <w:name w:val="Indent 2"/>
    <w:basedOn w:val="Normal"/>
    <w:qFormat/>
    <w:pPr>
      <w:ind w:hanging="0" w:start="864" w:end="0"/>
    </w:pPr>
    <w:rPr>
      <w:sz w:val="26"/>
    </w:rPr>
  </w:style>
  <w:style w:type="paragraph" w:styleId="Indent3">
    <w:name w:val="Indent 3"/>
    <w:basedOn w:val="Normal"/>
    <w:qFormat/>
    <w:pPr>
      <w:ind w:hanging="0" w:start="1296" w:end="0"/>
    </w:pPr>
    <w:rPr>
      <w:sz w:val="26"/>
    </w:rPr>
  </w:style>
  <w:style w:type="paragraph" w:styleId="Bullet4">
    <w:name w:val="Bullet 4"/>
    <w:basedOn w:val="Normal"/>
    <w:qFormat/>
    <w:pPr/>
    <w:rPr>
      <w:sz w:val="26"/>
    </w:rPr>
  </w:style>
  <w:style w:type="paragraph" w:styleId="FootnoteText">
    <w:name w:val="footnote text"/>
    <w:basedOn w:val="Normal"/>
    <w:pPr>
      <w:ind w:hanging="288" w:start="288" w:end="0"/>
    </w:pPr>
    <w:rPr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EnvelopeAddress">
    <w:name w:val="envelope address"/>
    <w:basedOn w:val="Normal"/>
    <w:pPr>
      <w:ind w:hanging="0" w:start="2880" w:end="0"/>
    </w:pPr>
    <w:rPr>
      <w:rFonts w:ascii="Book Antiqua" w:hAnsi="Book Antiqua" w:cs="Book Antiqua"/>
      <w:sz w:val="32"/>
    </w:rPr>
  </w:style>
  <w:style w:type="paragraph" w:styleId="EnvelopeReturn">
    <w:name w:val="envelope return"/>
    <w:basedOn w:val="Normal"/>
    <w:pPr/>
    <w:rPr>
      <w:rFonts w:ascii="Book Antiqua" w:hAnsi="Book Antiqua" w:cs="Book Antiqua"/>
      <w:sz w:val="30"/>
    </w:rPr>
  </w:style>
  <w:style w:type="paragraph" w:styleId="ListNumber">
    <w:name w:val="List Number"/>
    <w:basedOn w:val="Normal"/>
    <w:qFormat/>
    <w:pPr>
      <w:numPr>
        <w:ilvl w:val="0"/>
        <w:numId w:val="8"/>
      </w:numPr>
      <w:ind w:hanging="432" w:start="432" w:end="0"/>
    </w:pPr>
    <w:rPr/>
  </w:style>
  <w:style w:type="paragraph" w:styleId="ListBullet">
    <w:name w:val="List Bullet"/>
    <w:basedOn w:val="Normal"/>
    <w:qFormat/>
    <w:pPr>
      <w:numPr>
        <w:ilvl w:val="0"/>
        <w:numId w:val="9"/>
      </w:numPr>
      <w:ind w:hanging="360" w:start="360" w:end="0"/>
    </w:pPr>
    <w:rPr/>
  </w:style>
  <w:style w:type="paragraph" w:styleId="AppendixHeading">
    <w:name w:val="Appendix Heading"/>
    <w:basedOn w:val="Normal"/>
    <w:qFormat/>
    <w:pPr>
      <w:spacing w:before="120" w:after="120"/>
      <w:jc w:val="center"/>
    </w:pPr>
    <w:rPr>
      <w:rFonts w:ascii="Times New Roman Bold" w:hAnsi="Times New Roman Bold" w:cs="Times New Roman Bold"/>
      <w:b/>
    </w:rPr>
  </w:style>
  <w:style w:type="paragraph" w:styleId="AppendixHeading1">
    <w:name w:val="Appendix Heading 1"/>
    <w:basedOn w:val="Normal"/>
    <w:next w:val="Normal"/>
    <w:qFormat/>
    <w:pPr>
      <w:numPr>
        <w:ilvl w:val="0"/>
        <w:numId w:val="2"/>
      </w:numPr>
      <w:spacing w:before="120" w:after="0"/>
    </w:pPr>
    <w:rPr>
      <w:b/>
      <w:sz w:val="24"/>
    </w:rPr>
  </w:style>
  <w:style w:type="paragraph" w:styleId="BodyText1">
    <w:name w:val="Body Text 1"/>
    <w:basedOn w:val="Normal"/>
    <w:qFormat/>
    <w:pPr>
      <w:spacing w:before="120" w:after="0"/>
      <w:ind w:hanging="0" w:start="432" w:end="0"/>
    </w:pPr>
    <w:rPr>
      <w:sz w:val="24"/>
    </w:rPr>
  </w:style>
  <w:style w:type="paragraph" w:styleId="TOC1">
    <w:name w:val="toc 1"/>
    <w:basedOn w:val="Normal"/>
    <w:next w:val="Normal"/>
    <w:pPr>
      <w:tabs>
        <w:tab w:val="clear" w:pos="720"/>
        <w:tab w:val="left" w:pos="432" w:leader="none"/>
        <w:tab w:val="right" w:pos="8630" w:leader="dot"/>
      </w:tabs>
      <w:spacing w:before="60" w:after="0"/>
      <w:ind w:hanging="432" w:start="432" w:end="0"/>
    </w:pPr>
    <w:rPr>
      <w:caps/>
    </w:rPr>
  </w:style>
  <w:style w:type="paragraph" w:styleId="TOC2">
    <w:name w:val="toc 2"/>
    <w:basedOn w:val="Normal"/>
    <w:next w:val="Normal"/>
    <w:pPr>
      <w:ind w:hanging="432" w:start="864" w:end="0"/>
    </w:pPr>
    <w:rPr/>
  </w:style>
  <w:style w:type="paragraph" w:styleId="OutlineBullet1">
    <w:name w:val="Outline Bullet 1"/>
    <w:basedOn w:val="Normal"/>
    <w:next w:val="BodyText1"/>
    <w:qFormat/>
    <w:pPr>
      <w:numPr>
        <w:ilvl w:val="0"/>
        <w:numId w:val="3"/>
      </w:numPr>
      <w:spacing w:before="180" w:after="0"/>
    </w:pPr>
    <w:rPr>
      <w:rFonts w:ascii="Times New Roman Bold" w:hAnsi="Times New Roman Bold" w:cs="Times New Roman Bold"/>
      <w:b/>
    </w:rPr>
  </w:style>
  <w:style w:type="paragraph" w:styleId="BodyText2">
    <w:name w:val="Body Text 2"/>
    <w:basedOn w:val="Normal"/>
    <w:qFormat/>
    <w:pPr>
      <w:spacing w:before="60" w:after="0"/>
      <w:ind w:hanging="0" w:start="864" w:end="0"/>
    </w:pPr>
    <w:rPr>
      <w:sz w:val="24"/>
    </w:rPr>
  </w:style>
  <w:style w:type="paragraph" w:styleId="BodyText3">
    <w:name w:val="Body Text 3"/>
    <w:basedOn w:val="Normal"/>
    <w:qFormat/>
    <w:pPr>
      <w:spacing w:before="60" w:after="0"/>
      <w:ind w:hanging="0" w:start="1296" w:end="0"/>
    </w:pPr>
    <w:rPr>
      <w:sz w:val="22"/>
    </w:rPr>
  </w:style>
  <w:style w:type="paragraph" w:styleId="BodyText4">
    <w:name w:val="Body Text 4"/>
    <w:basedOn w:val="Normal"/>
    <w:qFormat/>
    <w:pPr>
      <w:spacing w:before="60" w:after="0"/>
      <w:ind w:hanging="0" w:start="1728" w:end="0"/>
    </w:pPr>
    <w:rPr>
      <w:sz w:val="22"/>
    </w:rPr>
  </w:style>
  <w:style w:type="paragraph" w:styleId="OutlineBullet2">
    <w:name w:val="Outline Bullet 2"/>
    <w:basedOn w:val="Normal"/>
    <w:next w:val="BodyText2"/>
    <w:qFormat/>
    <w:pPr>
      <w:numPr>
        <w:ilvl w:val="0"/>
        <w:numId w:val="3"/>
      </w:numPr>
      <w:spacing w:before="120" w:after="0"/>
    </w:pPr>
    <w:rPr>
      <w:sz w:val="24"/>
    </w:rPr>
  </w:style>
  <w:style w:type="paragraph" w:styleId="GAIIBulletList0">
    <w:name w:val="GAII Bullet List 0"/>
    <w:basedOn w:val="Normal"/>
    <w:next w:val="GAIIBulletList1"/>
    <w:qFormat/>
    <w:pPr>
      <w:spacing w:before="240" w:after="0"/>
    </w:pPr>
    <w:rPr>
      <w:rFonts w:ascii="Times New Roman Bold" w:hAnsi="Times New Roman Bold" w:cs="Times New Roman Bold"/>
      <w:b/>
      <w:caps/>
      <w:sz w:val="28"/>
    </w:rPr>
  </w:style>
  <w:style w:type="paragraph" w:styleId="GAIIBulletList1">
    <w:name w:val="GAII Bullet List 1"/>
    <w:basedOn w:val="Normal"/>
    <w:next w:val="GAIIBulletList2"/>
    <w:qFormat/>
    <w:pPr>
      <w:numPr>
        <w:ilvl w:val="0"/>
        <w:numId w:val="6"/>
      </w:numPr>
      <w:spacing w:before="120" w:after="0"/>
    </w:pPr>
    <w:rPr>
      <w:rFonts w:ascii="Times New Roman Bold" w:hAnsi="Times New Roman Bold" w:cs="Times New Roman Bold"/>
      <w:b/>
    </w:rPr>
  </w:style>
  <w:style w:type="paragraph" w:styleId="GAIIBodyText0">
    <w:name w:val="GAII Body Text 0"/>
    <w:basedOn w:val="Normal"/>
    <w:qFormat/>
    <w:pPr>
      <w:spacing w:before="120" w:after="0"/>
    </w:pPr>
    <w:rPr/>
  </w:style>
  <w:style w:type="paragraph" w:styleId="GAIIBodyText1">
    <w:name w:val="GAII Body Text 1"/>
    <w:basedOn w:val="Normal"/>
    <w:qFormat/>
    <w:pPr>
      <w:spacing w:before="60" w:after="0"/>
      <w:ind w:hanging="0" w:start="432" w:end="0"/>
    </w:pPr>
    <w:rPr/>
  </w:style>
  <w:style w:type="paragraph" w:styleId="GAIIBulletList2">
    <w:name w:val="GAII Bullet List 2"/>
    <w:basedOn w:val="Normal"/>
    <w:next w:val="Normal"/>
    <w:qFormat/>
    <w:pPr>
      <w:numPr>
        <w:ilvl w:val="0"/>
        <w:numId w:val="5"/>
      </w:numPr>
      <w:tabs>
        <w:tab w:val="clear" w:pos="720"/>
        <w:tab w:val="left" w:pos="1728" w:leader="none"/>
      </w:tabs>
      <w:spacing w:before="60" w:after="0"/>
    </w:pPr>
    <w:rPr>
      <w:sz w:val="24"/>
    </w:rPr>
  </w:style>
  <w:style w:type="paragraph" w:styleId="GABulletList3">
    <w:name w:val="GA Bullet List 3"/>
    <w:basedOn w:val="Normal"/>
    <w:next w:val="Normal"/>
    <w:qFormat/>
    <w:pPr>
      <w:tabs>
        <w:tab w:val="clear" w:pos="720"/>
        <w:tab w:val="left" w:pos="1728" w:leader="none"/>
      </w:tabs>
      <w:spacing w:before="60" w:after="0"/>
      <w:ind w:hanging="0" w:start="0" w:end="432"/>
    </w:pPr>
    <w:rPr>
      <w:sz w:val="24"/>
    </w:rPr>
  </w:style>
  <w:style w:type="paragraph" w:styleId="GAIIBulletList3">
    <w:name w:val="GAII Bullet List 3"/>
    <w:basedOn w:val="Normal"/>
    <w:qFormat/>
    <w:pPr>
      <w:numPr>
        <w:ilvl w:val="0"/>
        <w:numId w:val="6"/>
      </w:numPr>
      <w:tabs>
        <w:tab w:val="clear" w:pos="720"/>
        <w:tab w:val="left" w:pos="1728" w:leader="none"/>
        <w:tab w:val="left" w:pos="2160" w:leader="none"/>
      </w:tabs>
      <w:spacing w:before="60" w:after="0"/>
      <w:ind w:hanging="0" w:start="0" w:end="432"/>
    </w:pPr>
    <w:rPr>
      <w:sz w:val="24"/>
    </w:rPr>
  </w:style>
  <w:style w:type="paragraph" w:styleId="GAIIBulletList4">
    <w:name w:val="GAII Bullet List 4"/>
    <w:basedOn w:val="Normal"/>
    <w:qFormat/>
    <w:pPr>
      <w:numPr>
        <w:ilvl w:val="0"/>
        <w:numId w:val="6"/>
      </w:numPr>
    </w:pPr>
    <w:rPr>
      <w:sz w:val="24"/>
    </w:rPr>
  </w:style>
  <w:style w:type="paragraph" w:styleId="GAIIBulletList5">
    <w:name w:val="GAII Bullet List 5"/>
    <w:basedOn w:val="Normal"/>
    <w:qFormat/>
    <w:pPr>
      <w:numPr>
        <w:ilvl w:val="0"/>
        <w:numId w:val="6"/>
      </w:numPr>
      <w:ind w:hanging="0" w:start="0" w:end="432"/>
    </w:pPr>
    <w:rPr>
      <w:sz w:val="24"/>
    </w:rPr>
  </w:style>
  <w:style w:type="paragraph" w:styleId="Bullet1-Memo">
    <w:name w:val="Bullet 1 - Memo"/>
    <w:basedOn w:val="Normal"/>
    <w:qFormat/>
    <w:pPr>
      <w:ind w:hanging="432" w:start="432" w:end="0"/>
    </w:pPr>
    <w:rPr>
      <w:sz w:val="28"/>
    </w:rPr>
  </w:style>
  <w:style w:type="paragraph" w:styleId="Indent1-Memo">
    <w:name w:val="Indent 1 - Memo"/>
    <w:basedOn w:val="Bullet1-Memo"/>
    <w:qFormat/>
    <w:pPr>
      <w:ind w:hanging="0" w:start="432" w:end="0"/>
    </w:pPr>
    <w:rPr/>
  </w:style>
  <w:style w:type="paragraph" w:styleId="Indent2-Memo">
    <w:name w:val="Indent 2 - Memo"/>
    <w:basedOn w:val="Normal"/>
    <w:qFormat/>
    <w:pPr>
      <w:ind w:hanging="0" w:start="864" w:end="432"/>
    </w:pPr>
    <w:rPr>
      <w:sz w:val="2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StyleNum">
    <w:name w:val="WW8StyleNum"/>
    <w:qFormat/>
  </w:style>
  <w:style w:type="numbering" w:styleId="WW8StyleNum1">
    <w:name w:val="WW8Style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2000-10-20T12:49:00Z</dcterms:created>
  <dc:creator>Geoffrey Bellenger</dc:creator>
  <dc:description/>
  <dc:language>en-CA</dc:language>
  <cp:lastModifiedBy>A PG&amp;E Employee</cp:lastModifiedBy>
  <cp:lastPrinted>2000-10-25T07:02:00Z</cp:lastPrinted>
  <dcterms:modified xsi:type="dcterms:W3CDTF">2000-10-25T11:38:00Z</dcterms:modified>
  <cp:revision>8</cp:revision>
  <dc:subject/>
  <dc:title>Gas Accord II Settlement</dc:title>
</cp:coreProperties>
</file>