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120" w:after="120"/>
        <w:rPr/>
      </w:pPr>
      <w:r>
        <w:rPr/>
        <w:t>Gas Accord II Settlement</w:t>
      </w:r>
    </w:p>
    <w:p>
      <w:pPr>
        <w:pStyle w:val="BodyText"/>
        <w:rPr>
          <w:i w:val="false"/>
          <w:i w:val="false"/>
          <w:iCs/>
          <w:sz w:val="32"/>
        </w:rPr>
      </w:pPr>
      <w:bookmarkStart w:id="0" w:name="DocTitle1"/>
      <w:r>
        <w:rPr>
          <w:i w:val="false"/>
          <w:iCs/>
          <w:sz w:val="32"/>
        </w:rPr>
        <w:t>Workshop</w:t>
      </w:r>
      <w:bookmarkEnd w:id="0"/>
    </w:p>
    <w:p>
      <w:pPr>
        <w:pStyle w:val="Normal"/>
        <w:jc w:val="center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  <w:t>October 25, 2000, 9:30 a.m. to 3:30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Normal"/>
        <w:spacing w:before="120" w:after="0"/>
        <w:jc w:val="center"/>
        <w:rPr/>
      </w:pPr>
      <w:r>
        <w:rPr/>
        <w:t>Proposed AGENDA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162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9:30 a.m.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Balancing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Transaction Information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24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24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Open-Season Rules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Feedback Discussion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3:30 p.m.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pBdr>
          <w:bottom w:val="thickThinSmallGap" w:sz="12" w:space="1" w:color="000000"/>
        </w:pBdr>
        <w:rPr/>
      </w:pPr>
      <w:r>
        <w:rPr/>
      </w:r>
      <w:bookmarkStart w:id="1" w:name="DocTitle2"/>
      <w:bookmarkStart w:id="2" w:name="DocTitle2"/>
    </w:p>
    <w:p>
      <w:pPr>
        <w:pStyle w:val="Heading3"/>
        <w:rPr>
          <w:sz w:val="32"/>
        </w:rPr>
      </w:pPr>
      <w:bookmarkStart w:id="3" w:name="DocTitle2"/>
      <w:r>
        <w:rPr>
          <w:sz w:val="32"/>
        </w:rPr>
        <w:t>Workshop</w:t>
      </w:r>
      <w:bookmarkEnd w:id="3"/>
    </w:p>
    <w:p>
      <w:pPr>
        <w:pStyle w:val="Normal"/>
        <w:jc w:val="center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  <w:t>October 26, 2000, 9:00 a.m. to Noon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Heading2"/>
        <w:rPr/>
      </w:pPr>
      <w:r>
        <w:rPr/>
        <w:t>Proposed AGENDA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162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PG&amp;E Core Procurement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Core Energy Service Providers (ESPs or Core Aggregators)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Noon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576" w:top="1152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ookman Old Style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ernhardMod BT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rFonts w:ascii="BernhardMod BT" w:hAnsi="BernhardMod BT" w:cs="BernhardMod BT"/>
        <w:b/>
        <w:i/>
        <w:i/>
        <w:sz w:val="30"/>
      </w:rPr>
    </w:pPr>
    <w:r>
      <w:rPr>
        <w:rFonts w:cs="BernhardMod BT" w:ascii="BernhardMod BT" w:hAnsi="BernhardMod BT"/>
        <w:b/>
        <w:i/>
        <w:sz w:val="30"/>
      </w:rPr>
      <w:t>Gas Accord II Settlement</w:t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DocTitle2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DocDate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  <w:t>Error: Reference source not found</w:t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b/>
        <w:i/>
        <w:i/>
      </w:rPr>
    </w:pPr>
    <w:r>
      <w:rPr>
        <w:b/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Pursuant To CPUC Rule 51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paragraph" w:styleId="Heading2">
    <w:name w:val="heading 2"/>
    <w:basedOn w:val="Normal"/>
    <w:next w:val="Normal"/>
    <w:qFormat/>
    <w:pPr>
      <w:keepNext w:val="true"/>
      <w:spacing w:before="120" w:after="0"/>
      <w:jc w:val="center"/>
      <w:outlineLvl w:val="1"/>
    </w:pPr>
    <w:rPr>
      <w:rFonts w:ascii="Bookman Old Style" w:hAnsi="Bookman Old Style" w:cs="Bookman Old Style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before="240" w:after="0"/>
      <w:jc w:val="center"/>
      <w:outlineLvl w:val="2"/>
    </w:pPr>
    <w:rPr>
      <w:rFonts w:ascii="Bookman Old Style" w:hAnsi="Bookman Old Style" w:cs="Bookman Old Style"/>
      <w:b/>
      <w:sz w:val="3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thickThinSmallGap" w:sz="12" w:space="1" w:color="000000"/>
      </w:pBdr>
      <w:spacing w:before="120" w:after="0"/>
      <w:jc w:val="center"/>
    </w:pPr>
    <w:rPr>
      <w:rFonts w:ascii="BernhardMod BT" w:hAnsi="BernhardMod BT" w:cs="BernhardMod BT"/>
      <w:b/>
      <w:i/>
      <w:sz w:val="30"/>
    </w:rPr>
  </w:style>
  <w:style w:type="paragraph" w:styleId="BodyText">
    <w:name w:val="Body Text"/>
    <w:basedOn w:val="Normal"/>
    <w:pPr>
      <w:spacing w:before="240" w:after="0"/>
      <w:jc w:val="center"/>
    </w:pPr>
    <w:rPr>
      <w:rFonts w:ascii="Bookman Old Style" w:hAnsi="Bookman Old Style" w:cs="Bookman Old Style"/>
      <w:b/>
      <w:i/>
      <w:sz w:val="3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8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" w:hAnsi="Times New Roman Bold" w:cs="Times New Roman Bold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" w:hAnsi="Times New Roman Bold" w:cs="Times New Roman Bold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2000-10-20T12:49:00Z</dcterms:created>
  <dc:creator>Geoffrey Bellenger</dc:creator>
  <dc:description/>
  <dc:language>en-CA</dc:language>
  <cp:lastModifiedBy>A PG&amp;E Employee</cp:lastModifiedBy>
  <cp:lastPrinted>2000-10-20T13:29:00Z</cp:lastPrinted>
  <dcterms:modified xsi:type="dcterms:W3CDTF">2000-10-20T17:59:00Z</dcterms:modified>
  <cp:revision>6</cp:revision>
  <dc:subject/>
  <dc:title>Gas Accord II Settlement</dc:title>
</cp:coreProperties>
</file>