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Weekly Consultants Meeting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Monday, June 11, 2001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4:00 PM EST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 xml:space="preserve">Enron Offices 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Conference Call-In Number:  800-713-8600; Code 6261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I.</w:t>
        <w:tab/>
        <w:t>Administration</w:t>
      </w:r>
    </w:p>
    <w:p>
      <w:pPr>
        <w:pStyle w:val="Normal"/>
        <w:keepLines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Energy Working Group Activities</w:t>
      </w:r>
    </w:p>
    <w:p>
      <w:pPr>
        <w:pStyle w:val="Normal"/>
        <w:keepLines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Department of Energy Activities</w:t>
      </w:r>
    </w:p>
    <w:p>
      <w:pPr>
        <w:pStyle w:val="Normal"/>
        <w:keepLines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Other Administration Actions (Status of Legislative Drafting Projects)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II.</w:t>
        <w:tab/>
        <w:t>Congress</w:t>
      </w:r>
    </w:p>
    <w:p>
      <w:pPr>
        <w:pStyle w:val="Normal"/>
        <w:keepLines/>
        <w:numPr>
          <w:ilvl w:val="0"/>
          <w:numId w:val="6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Recap of Barton Legislation: Full Committee Mark Up Cancelled</w:t>
      </w:r>
    </w:p>
    <w:p>
      <w:pPr>
        <w:pStyle w:val="Normal"/>
        <w:keepLines/>
        <w:numPr>
          <w:ilvl w:val="0"/>
          <w:numId w:val="6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House Mark Up Of Comprehensive Energy Package (Schedule?)</w:t>
      </w:r>
    </w:p>
    <w:p>
      <w:pPr>
        <w:pStyle w:val="Normal"/>
        <w:keepLines/>
        <w:numPr>
          <w:ilvl w:val="0"/>
          <w:numId w:val="6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Senate Energy Committee – Short Term California Bill? Bingaman and Daschle Statements--Feinstein/Smith Price Cap Legislation</w:t>
      </w:r>
    </w:p>
    <w:p>
      <w:pPr>
        <w:pStyle w:val="Normal"/>
        <w:keepLines/>
        <w:numPr>
          <w:ilvl w:val="0"/>
          <w:numId w:val="6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Lieberman Hearings – Energy Policy and FERC Oversight and Possible Investigative Hearings</w:t>
      </w:r>
    </w:p>
    <w:p>
      <w:pPr>
        <w:pStyle w:val="Normal"/>
        <w:keepLines/>
        <w:numPr>
          <w:ilvl w:val="0"/>
          <w:numId w:val="6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Additional Outreach Meetings and Internal Whip System</w:t>
      </w:r>
    </w:p>
    <w:p>
      <w:pPr>
        <w:pStyle w:val="Normal"/>
        <w:keepLines/>
        <w:numPr>
          <w:ilvl w:val="0"/>
          <w:numId w:val="6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Reliability Legislation – Enron Position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III.</w:t>
        <w:tab/>
        <w:t>FERC</w:t>
      </w:r>
    </w:p>
    <w:p>
      <w:pPr>
        <w:pStyle w:val="Normal"/>
        <w:keepLines/>
        <w:numPr>
          <w:ilvl w:val="0"/>
          <w:numId w:val="5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Upcoming FERC activities</w:t>
      </w:r>
    </w:p>
    <w:p>
      <w:pPr>
        <w:pStyle w:val="Normal"/>
        <w:keepLines/>
        <w:numPr>
          <w:ilvl w:val="0"/>
          <w:numId w:val="5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Potential FERC Response on California/West Coast Due To Congressional Pressure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3"/>
        </w:numPr>
        <w:tabs>
          <w:tab w:val="left" w:pos="720" w:leader="none"/>
        </w:tabs>
        <w:autoSpaceDE w:val="false"/>
        <w:spacing w:lineRule="atLeast" w:line="240"/>
        <w:ind w:hanging="720" w:start="72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Governors</w:t>
      </w:r>
    </w:p>
    <w:p>
      <w:pPr>
        <w:pStyle w:val="Normal"/>
        <w:keepLines/>
        <w:numPr>
          <w:ilvl w:val="1"/>
          <w:numId w:val="3"/>
        </w:numPr>
        <w:tabs>
          <w:tab w:val="clear" w:pos="720"/>
        </w:tabs>
        <w:autoSpaceDE w:val="false"/>
        <w:spacing w:lineRule="atLeast" w:line="240"/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Status of Outreach to Governors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V.</w:t>
        <w:tab/>
        <w:t>California Update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VI.</w:t>
        <w:tab/>
        <w:t>Media/Message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Enron in the News</w:t>
      </w:r>
    </w:p>
    <w:p>
      <w:pPr>
        <w:pStyle w:val="Normal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numPr>
          <w:ilvl w:val="1"/>
          <w:numId w:val="1"/>
        </w:numPr>
        <w:tabs>
          <w:tab w:val="left" w:pos="720" w:leader="none"/>
        </w:tabs>
        <w:ind w:hanging="126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 xml:space="preserve">Other   </w:t>
      </w:r>
    </w:p>
    <w:p>
      <w:pPr>
        <w:pStyle w:val="Normal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  <w:lvl w:ilvl="1">
      <w:start w:val="7"/>
      <w:numFmt w:val="upperRoman"/>
      <w:lvlText w:val="%2."/>
      <w:lvlJc w:val="start"/>
      <w:pPr>
        <w:tabs>
          <w:tab w:val="num" w:pos="2880"/>
        </w:tabs>
        <w:ind w:start="2880" w:hanging="720"/>
      </w:pPr>
      <w:rPr/>
    </w:lvl>
    <w:lvl w:ilvl="2">
      <w:start w:val="1"/>
      <w:numFmt w:val="lowerRoman"/>
      <w:lvlText w:val="%3."/>
      <w:lvlJc w:val="end"/>
      <w:pPr>
        <w:tabs>
          <w:tab w:val="num" w:pos="3240"/>
        </w:tabs>
        <w:ind w:start="3240" w:hanging="180"/>
      </w:pPr>
    </w:lvl>
    <w:lvl w:ilvl="3">
      <w:start w:val="1"/>
      <w:numFmt w:val="decimal"/>
      <w:lvlText w:val="%4."/>
      <w:lvlJc w:val="start"/>
      <w:pPr>
        <w:tabs>
          <w:tab w:val="num" w:pos="3960"/>
        </w:tabs>
        <w:ind w:start="3960" w:hanging="360"/>
      </w:pPr>
    </w:lvl>
    <w:lvl w:ilvl="4">
      <w:start w:val="1"/>
      <w:numFmt w:val="lowerLetter"/>
      <w:lvlText w:val="%5."/>
      <w:lvlJc w:val="start"/>
      <w:pPr>
        <w:tabs>
          <w:tab w:val="num" w:pos="4680"/>
        </w:tabs>
        <w:ind w:start="4680" w:hanging="360"/>
      </w:pPr>
    </w:lvl>
    <w:lvl w:ilvl="5">
      <w:start w:val="1"/>
      <w:numFmt w:val="lowerRoman"/>
      <w:lvlText w:val="%6."/>
      <w:lvlJc w:val="end"/>
      <w:pPr>
        <w:tabs>
          <w:tab w:val="num" w:pos="5400"/>
        </w:tabs>
        <w:ind w:start="5400" w:hanging="180"/>
      </w:pPr>
    </w:lvl>
    <w:lvl w:ilvl="6">
      <w:start w:val="1"/>
      <w:numFmt w:val="decimal"/>
      <w:lvlText w:val="%7."/>
      <w:lvlJc w:val="start"/>
      <w:pPr>
        <w:tabs>
          <w:tab w:val="num" w:pos="6120"/>
        </w:tabs>
        <w:ind w:start="6120" w:hanging="360"/>
      </w:pPr>
    </w:lvl>
    <w:lvl w:ilvl="7">
      <w:start w:val="1"/>
      <w:numFmt w:val="lowerLetter"/>
      <w:lvlText w:val="%8."/>
      <w:lvlJc w:val="start"/>
      <w:pPr>
        <w:tabs>
          <w:tab w:val="num" w:pos="6840"/>
        </w:tabs>
        <w:ind w:start="6840" w:hanging="360"/>
      </w:pPr>
    </w:lvl>
    <w:lvl w:ilvl="8">
      <w:start w:val="1"/>
      <w:numFmt w:val="lowerRoman"/>
      <w:lvlText w:val="%9."/>
      <w:lvlJc w:val="end"/>
      <w:pPr>
        <w:tabs>
          <w:tab w:val="num" w:pos="7560"/>
        </w:tabs>
        <w:ind w:start="7560" w:hanging="18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200"/>
        </w:tabs>
        <w:ind w:start="1200" w:hanging="480"/>
      </w:pPr>
      <w:rPr/>
    </w:lvl>
  </w:abstractNum>
  <w:abstractNum w:abstractNumId="3">
    <w:lvl w:ilvl="0">
      <w:start w:val="4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1200"/>
        </w:tabs>
        <w:ind w:start="1200" w:hanging="480"/>
      </w:pPr>
      <w:rPr/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1200"/>
        </w:tabs>
        <w:ind w:start="1200" w:hanging="480"/>
      </w:pPr>
      <w:rPr/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1200"/>
        </w:tabs>
        <w:ind w:start="1200" w:hanging="48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spacing w:lineRule="atLeast" w:line="240"/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2001-06-08T10:57:00Z</dcterms:created>
  <dc:creator>lsulliv</dc:creator>
  <dc:description/>
  <dc:language>en-CA</dc:language>
  <cp:lastModifiedBy>JSHELK</cp:lastModifiedBy>
  <cp:lastPrinted>2001-06-08T08:22:00Z</cp:lastPrinted>
  <dcterms:modified xsi:type="dcterms:W3CDTF">2001-06-08T10:57:00Z</dcterms:modified>
  <cp:revision>2</cp:revision>
  <dc:subject/>
  <dc:title>AGENDA</dc:title>
</cp:coreProperties>
</file>