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  <w:bdr w:val="single" w:sz="4" w:space="0" w:color="000000"/>
        </w:rPr>
        <w:t xml:space="preserve"> </w:t>
      </w:r>
      <w:r>
        <w:rPr>
          <w:u w:val="none"/>
          <w:bdr w:val="single" w:sz="4" w:space="0" w:color="000000"/>
        </w:rPr>
        <w:t>AGENDA</w:t>
      </w:r>
    </w:p>
    <w:p>
      <w:pPr>
        <w:pStyle w:val="Normal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240"/>
        <w:rPr/>
      </w:pPr>
      <w:r>
        <w:rPr/>
        <w:t>Culture (Olson, Tilney)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vision and values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diversity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employee morale (survey results)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Image and reputation (Kean, Koenig, Tilney)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What is it?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how do we communicate it?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how much do we engage; how much do we disclose?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240"/>
        <w:rPr/>
      </w:pPr>
      <w:r>
        <w:rPr/>
        <w:t>Vision:  How do we define Enron? (All)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not a trading company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more than a trading company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a trading company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a customer service company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management conference agenda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240"/>
        <w:rPr/>
      </w:pPr>
      <w:r>
        <w:rPr/>
        <w:t>PRC (Delainey)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240"/>
        <w:rPr/>
      </w:pPr>
      <w:r>
        <w:rPr/>
        <w:t>Retention and compensation (All)</w:t>
      </w:r>
    </w:p>
    <w:p>
      <w:pPr>
        <w:pStyle w:val="Normal"/>
        <w:numPr>
          <w:ilvl w:val="0"/>
          <w:numId w:val="4"/>
        </w:numPr>
        <w:spacing w:before="0" w:after="240"/>
        <w:rPr/>
      </w:pPr>
      <w:r>
        <w:rPr/>
        <w:t>new businesses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Third quarter issues (Whalley)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Risk management - - how do we avoid repeating the failures of the past (All)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Issues in power markets (wholesale vs. retail) (Dietrich)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International asset sales plans (Fastow)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Aviation (Kean)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Business unit reviews (All business unit leaders – 10 minutes each)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792"/>
        </w:tabs>
        <w:ind w:start="792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both"/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color w:val="00000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2001-08-31T16:52:00Z</dcterms:created>
  <dc:creator>mmcvick</dc:creator>
  <dc:description/>
  <dc:language>en-CA</dc:language>
  <cp:lastModifiedBy>mmcvick</cp:lastModifiedBy>
  <cp:lastPrinted>2001-08-31T14:33:00Z</cp:lastPrinted>
  <dcterms:modified xsi:type="dcterms:W3CDTF">2001-08-31T17:50:00Z</dcterms:modified>
  <cp:revision>5</cp:revision>
  <dc:subject/>
  <dc:title>TOPIC GROUPS</dc:title>
</cp:coreProperties>
</file>