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jc w:val="center"/>
        <w:outlineLvl w:val="0"/>
        <w:rPr>
          <w:b/>
          <w:color w:val="333399"/>
          <w:sz w:val="32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-17145</wp:posOffset>
            </wp:positionH>
            <wp:positionV relativeFrom="paragraph">
              <wp:posOffset>2540</wp:posOffset>
            </wp:positionV>
            <wp:extent cx="891540" cy="89154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3" t="-73" r="-73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333399"/>
          <w:sz w:val="32"/>
        </w:rPr>
        <w:t>Institute of the Americas</w:t>
      </w:r>
    </w:p>
    <w:p>
      <w:pPr>
        <w:pStyle w:val="Normal"/>
        <w:jc w:val="center"/>
        <w:rPr>
          <w:b/>
          <w:color w:val="333399"/>
          <w:sz w:val="36"/>
        </w:rPr>
      </w:pPr>
      <w:r>
        <w:rPr>
          <w:b/>
          <w:color w:val="333399"/>
          <w:sz w:val="36"/>
        </w:rPr>
        <w:t>US Energy Policy and its implication</w:t>
      </w:r>
    </w:p>
    <w:p>
      <w:pPr>
        <w:pStyle w:val="Normal"/>
        <w:jc w:val="center"/>
        <w:rPr>
          <w:b/>
          <w:color w:val="333399"/>
          <w:sz w:val="32"/>
        </w:rPr>
      </w:pPr>
      <w:r>
        <w:rPr>
          <w:b/>
          <w:color w:val="333399"/>
          <w:sz w:val="36"/>
        </w:rPr>
        <w:t>on Latin American Economies</w:t>
      </w:r>
    </w:p>
    <w:p>
      <w:pPr>
        <w:pStyle w:val="Normal"/>
        <w:jc w:val="center"/>
        <w:rPr>
          <w:b/>
          <w:color w:val="333399"/>
          <w:sz w:val="28"/>
        </w:rPr>
      </w:pPr>
      <w:r>
        <w:rPr>
          <w:b/>
          <w:color w:val="333399"/>
          <w:sz w:val="28"/>
        </w:rPr>
        <w:t>St. Regis Hotel, Washington D.C., September 5, 2001</w:t>
      </w:r>
    </w:p>
    <w:p>
      <w:pPr>
        <w:pStyle w:val="Normal"/>
        <w:jc w:val="center"/>
        <w:rPr>
          <w:b/>
          <w:color w:val="333399"/>
          <w:sz w:val="28"/>
        </w:rPr>
      </w:pPr>
      <w:r>
        <w:rPr>
          <w:b/>
          <w:color w:val="333399"/>
          <w:sz w:val="28"/>
        </w:rPr>
        <w:t>Preliminary Agenda</w:t>
      </w:r>
    </w:p>
    <w:p>
      <w:pPr>
        <w:pStyle w:val="Normal"/>
        <w:jc w:val="center"/>
        <w:rPr>
          <w:b/>
          <w:color w:val="333399"/>
          <w:sz w:val="24"/>
          <w:lang w:val="en-CA" w:eastAsia="en-CA"/>
        </w:rPr>
      </w:pPr>
      <w:r>
        <w:rPr>
          <w:b/>
          <w:color w:val="333399"/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-40005</wp:posOffset>
                </wp:positionH>
                <wp:positionV relativeFrom="paragraph">
                  <wp:posOffset>20320</wp:posOffset>
                </wp:positionV>
                <wp:extent cx="67437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3333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.15pt,1.6pt" to="527.8pt,1.6pt" stroked="t" o:allowincell="f" style="position:absolute">
                <v:stroke color="#333399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sectPr>
          <w:footerReference w:type="default" r:id="rId3"/>
          <w:type w:val="nextPage"/>
          <w:pgSz w:w="12240" w:h="15840"/>
          <w:pgMar w:left="720" w:right="720" w:gutter="0" w:header="0" w:top="720" w:footer="288" w:bottom="72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before="0" w:after="60"/>
        <w:rPr/>
      </w:pPr>
      <w:r>
        <w:rPr>
          <w:b/>
          <w:sz w:val="22"/>
        </w:rPr>
        <w:t xml:space="preserve">8:00 </w:t>
        <w:tab/>
      </w:r>
      <w:r>
        <w:rPr>
          <w:b/>
          <w:sz w:val="23"/>
        </w:rPr>
        <w:t>Registration</w:t>
      </w:r>
    </w:p>
    <w:p>
      <w:pPr>
        <w:pStyle w:val="Normal"/>
        <w:spacing w:before="0" w:after="60"/>
        <w:rPr>
          <w:b/>
          <w:sz w:val="23"/>
        </w:rPr>
      </w:pPr>
      <w:r>
        <w:rPr>
          <w:b/>
          <w:sz w:val="23"/>
        </w:rPr>
        <w:t>8:30</w:t>
        <w:tab/>
        <w:t>Welcome and Opening Remarks</w:t>
      </w:r>
    </w:p>
    <w:p>
      <w:pPr>
        <w:pStyle w:val="Speaker"/>
        <w:rPr>
          <w:bCs/>
          <w:i/>
          <w:i/>
          <w:iCs/>
          <w:sz w:val="23"/>
        </w:rPr>
      </w:pPr>
      <w:r>
        <w:rPr>
          <w:bCs/>
          <w:i/>
          <w:iCs/>
          <w:sz w:val="23"/>
        </w:rPr>
        <w:t>*Paul H. Boeker, President, Institute of the Americas</w:t>
      </w:r>
    </w:p>
    <w:p>
      <w:pPr>
        <w:pStyle w:val="Normal"/>
        <w:spacing w:before="0" w:after="60"/>
        <w:ind w:hanging="720" w:start="720" w:end="0"/>
        <w:rPr>
          <w:b/>
          <w:sz w:val="23"/>
        </w:rPr>
      </w:pPr>
      <w:r>
        <w:rPr>
          <w:b/>
          <w:sz w:val="23"/>
        </w:rPr>
        <w:t>8:45</w:t>
        <w:tab/>
      </w:r>
      <w:r>
        <w:rPr>
          <w:b/>
          <w:bCs/>
          <w:sz w:val="23"/>
        </w:rPr>
        <w:t>The Implementation of the National Energy Policy</w:t>
      </w:r>
    </w:p>
    <w:p>
      <w:pPr>
        <w:pStyle w:val="Speaker"/>
        <w:rPr>
          <w:bCs/>
          <w:i/>
          <w:i/>
          <w:iCs/>
          <w:sz w:val="23"/>
        </w:rPr>
      </w:pPr>
      <w:r>
        <w:rPr>
          <w:bCs/>
          <w:i/>
          <w:iCs/>
          <w:sz w:val="23"/>
        </w:rPr>
        <w:t>Spencer Abraham, Secretary of Energy, US Dept. of Energy</w:t>
      </w:r>
    </w:p>
    <w:p>
      <w:pPr>
        <w:pStyle w:val="Normal"/>
        <w:spacing w:before="60" w:after="60"/>
        <w:ind w:hanging="720" w:start="720" w:end="0"/>
        <w:rPr/>
      </w:pPr>
      <w:r>
        <w:rPr>
          <w:b/>
          <w:sz w:val="23"/>
        </w:rPr>
        <w:t>9:15</w:t>
        <w:tab/>
      </w:r>
      <w:r>
        <w:rPr>
          <w:b/>
          <w:sz w:val="23"/>
          <w:szCs w:val="19"/>
        </w:rPr>
        <w:t xml:space="preserve">Demand vs. Capacity: </w:t>
      </w:r>
      <w:r>
        <w:rPr>
          <w:b/>
          <w:iCs/>
          <w:sz w:val="23"/>
          <w:szCs w:val="19"/>
        </w:rPr>
        <w:t>The Energy Challenge for the Americas</w:t>
      </w:r>
    </w:p>
    <w:p>
      <w:pPr>
        <w:pStyle w:val="Normal"/>
        <w:ind w:start="720" w:end="0"/>
        <w:rPr>
          <w:bCs/>
          <w:i/>
          <w:i/>
          <w:sz w:val="23"/>
          <w:szCs w:val="19"/>
        </w:rPr>
      </w:pPr>
      <w:r>
        <w:rPr>
          <w:bCs/>
          <w:i/>
          <w:sz w:val="23"/>
          <w:szCs w:val="19"/>
        </w:rPr>
        <w:t>Moderated by : *Luis Giusti, Senior Advisor, Center for Strategic &amp; International Studies</w:t>
      </w:r>
    </w:p>
    <w:p>
      <w:pPr>
        <w:pStyle w:val="Normal"/>
        <w:ind w:start="720" w:end="0"/>
        <w:rPr>
          <w:bCs/>
          <w:i/>
          <w:i/>
          <w:sz w:val="23"/>
        </w:rPr>
      </w:pPr>
      <w:r>
        <w:rPr>
          <w:bCs/>
          <w:i/>
          <w:sz w:val="23"/>
        </w:rPr>
        <w:t>*Tara Billingsley, Industry Economist, Energy Information Administration</w:t>
      </w:r>
    </w:p>
    <w:p>
      <w:pPr>
        <w:pStyle w:val="Normal"/>
        <w:ind w:start="720" w:end="0"/>
        <w:rPr>
          <w:bCs/>
          <w:i/>
          <w:i/>
          <w:sz w:val="23"/>
        </w:rPr>
      </w:pPr>
      <w:r>
        <w:rPr>
          <w:bCs/>
          <w:i/>
          <w:sz w:val="23"/>
        </w:rPr>
        <w:t>Fitch Ratings</w:t>
      </w:r>
    </w:p>
    <w:p>
      <w:pPr>
        <w:pStyle w:val="Normal"/>
        <w:autoSpaceDE w:val="false"/>
        <w:spacing w:before="120" w:after="0"/>
        <w:ind w:hanging="720" w:start="720" w:end="0"/>
        <w:rPr>
          <w:b/>
          <w:bCs/>
          <w:sz w:val="23"/>
        </w:rPr>
      </w:pPr>
      <w:r>
        <w:rPr>
          <w:b/>
          <w:bCs/>
          <w:sz w:val="23"/>
        </w:rPr>
        <w:t>9:45</w:t>
        <w:tab/>
        <w:t xml:space="preserve">Achieving Common Prosperity: Sharing the Benefits of Globalization </w:t>
      </w:r>
    </w:p>
    <w:p>
      <w:pPr>
        <w:pStyle w:val="Normal"/>
        <w:autoSpaceDE w:val="false"/>
        <w:spacing w:before="120" w:after="0"/>
        <w:ind w:start="720" w:end="0"/>
        <w:rPr>
          <w:i/>
          <w:i/>
          <w:iCs/>
          <w:sz w:val="23"/>
        </w:rPr>
      </w:pPr>
      <w:r>
        <w:rPr>
          <w:i/>
          <w:iCs/>
          <w:sz w:val="23"/>
        </w:rPr>
        <w:t>Donald L. Evans, Secretary, US Department of Commerce</w:t>
      </w:r>
    </w:p>
    <w:p>
      <w:pPr>
        <w:pStyle w:val="Normal"/>
        <w:autoSpaceDE w:val="false"/>
        <w:spacing w:before="120" w:after="0"/>
        <w:ind w:start="720" w:end="0"/>
        <w:rPr>
          <w:i/>
          <w:i/>
          <w:iCs/>
          <w:sz w:val="23"/>
        </w:rPr>
      </w:pPr>
      <w:r>
        <w:rPr>
          <w:i/>
          <w:iCs/>
          <w:sz w:val="23"/>
        </w:rPr>
        <w:t>*Curt Struble, Deputy Assistant Secretary for Western Hemisphere Affairs, U.S. Department of State</w:t>
      </w:r>
    </w:p>
    <w:p>
      <w:pPr>
        <w:pStyle w:val="Normal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autoSpaceDE w:val="false"/>
        <w:spacing w:before="120" w:after="120"/>
        <w:jc w:val="center"/>
        <w:rPr>
          <w:b/>
          <w:bCs/>
          <w:smallCaps/>
          <w:spacing w:val="20"/>
          <w:sz w:val="24"/>
        </w:rPr>
      </w:pPr>
      <w:r>
        <w:rPr>
          <w:b/>
          <w:bCs/>
          <w:smallCaps/>
          <w:spacing w:val="20"/>
          <w:sz w:val="24"/>
        </w:rPr>
        <w:t>Developing Energy Integration:</w:t>
      </w:r>
      <w:r>
        <w:rPr>
          <w:b/>
          <w:bCs/>
          <w:sz w:val="24"/>
        </w:rPr>
        <w:t xml:space="preserve"> Policy, Trade, and Investment Analysis</w:t>
      </w:r>
    </w:p>
    <w:p>
      <w:pPr>
        <w:pStyle w:val="Normal"/>
        <w:spacing w:before="120" w:after="60"/>
        <w:ind w:hanging="720" w:start="720" w:end="0"/>
        <w:rPr/>
      </w:pPr>
      <w:r>
        <w:rPr>
          <w:b/>
          <w:bCs/>
          <w:sz w:val="23"/>
        </w:rPr>
        <w:t>10:30</w:t>
        <w:tab/>
      </w:r>
      <w:r>
        <w:rPr>
          <w:b/>
          <w:sz w:val="23"/>
        </w:rPr>
        <w:t>North-Bound Trade: South American Gas for US Markets</w:t>
      </w:r>
    </w:p>
    <w:p>
      <w:pPr>
        <w:pStyle w:val="NormalWeb"/>
        <w:ind w:start="720" w:end="0"/>
        <w:rPr>
          <w:i/>
          <w:i/>
          <w:iCs/>
          <w:sz w:val="23"/>
          <w:lang w:val="pt-BR"/>
        </w:rPr>
      </w:pPr>
      <w:r>
        <w:rPr>
          <w:bCs/>
          <w:i/>
          <w:iCs/>
          <w:sz w:val="23"/>
          <w:lang w:val="pt-BR"/>
        </w:rPr>
        <w:t xml:space="preserve">*Carlos Alberto Contreras, </w:t>
      </w:r>
      <w:r>
        <w:rPr>
          <w:bCs/>
          <w:i/>
          <w:iCs/>
          <w:sz w:val="23"/>
        </w:rPr>
        <w:t>Vice minister of Energy and</w:t>
      </w:r>
      <w:r>
        <w:rPr>
          <w:bCs/>
          <w:i/>
          <w:iCs/>
          <w:sz w:val="23"/>
          <w:lang w:val="pt-BR"/>
        </w:rPr>
        <w:t xml:space="preserve"> Hydrocarbons, Bolivia</w:t>
      </w:r>
    </w:p>
    <w:p>
      <w:pPr>
        <w:pStyle w:val="Normal"/>
        <w:autoSpaceDE w:val="false"/>
        <w:spacing w:before="120" w:after="0"/>
        <w:rPr/>
      </w:pPr>
      <w:r>
        <w:rPr>
          <w:b/>
          <w:bCs/>
          <w:sz w:val="23"/>
          <w:lang w:val="pt-BR"/>
        </w:rPr>
        <w:t>11:00</w:t>
        <w:tab/>
      </w:r>
      <w:r>
        <w:rPr>
          <w:b/>
          <w:bCs/>
          <w:sz w:val="23"/>
        </w:rPr>
        <w:t>Coffee</w:t>
      </w:r>
      <w:r>
        <w:rPr>
          <w:b/>
          <w:bCs/>
          <w:sz w:val="23"/>
          <w:lang w:val="pt-BR"/>
        </w:rPr>
        <w:t xml:space="preserve"> </w:t>
      </w:r>
      <w:r>
        <w:rPr>
          <w:b/>
          <w:bCs/>
          <w:sz w:val="23"/>
        </w:rPr>
        <w:t>Break</w:t>
      </w:r>
    </w:p>
    <w:p>
      <w:pPr>
        <w:pStyle w:val="Normal"/>
        <w:autoSpaceDE w:val="false"/>
        <w:spacing w:before="100" w:after="0"/>
        <w:ind w:hanging="720" w:start="720" w:end="0"/>
        <w:rPr>
          <w:b/>
          <w:bCs/>
          <w:sz w:val="23"/>
        </w:rPr>
      </w:pPr>
      <w:r>
        <w:rPr>
          <w:b/>
          <w:bCs/>
          <w:sz w:val="23"/>
        </w:rPr>
        <w:t>11:30</w:t>
        <w:tab/>
        <w:t xml:space="preserve">Mexico: </w:t>
      </w:r>
    </w:p>
    <w:p>
      <w:pPr>
        <w:pStyle w:val="Normal"/>
        <w:autoSpaceDE w:val="false"/>
        <w:spacing w:before="60" w:after="0"/>
        <w:ind w:hanging="720" w:start="720" w:end="0"/>
        <w:rPr>
          <w:sz w:val="23"/>
        </w:rPr>
      </w:pPr>
      <w:r>
        <w:rPr>
          <w:sz w:val="23"/>
        </w:rPr>
        <w:tab/>
        <w:t>North American Energy Group</w:t>
      </w:r>
    </w:p>
    <w:p>
      <w:pPr>
        <w:pStyle w:val="Normal"/>
        <w:autoSpaceDE w:val="false"/>
        <w:spacing w:before="60" w:after="0"/>
        <w:ind w:start="720" w:end="0"/>
        <w:rPr>
          <w:sz w:val="23"/>
        </w:rPr>
      </w:pPr>
      <w:r>
        <w:rPr>
          <w:sz w:val="23"/>
        </w:rPr>
        <w:t>Oil, natural gas, and electricity cross-border trade</w:t>
      </w:r>
    </w:p>
    <w:p>
      <w:pPr>
        <w:pStyle w:val="Normal"/>
        <w:autoSpaceDE w:val="false"/>
        <w:spacing w:before="60" w:after="0"/>
        <w:ind w:start="720" w:end="0"/>
        <w:rPr>
          <w:sz w:val="23"/>
        </w:rPr>
      </w:pPr>
      <w:r>
        <w:rPr>
          <w:sz w:val="23"/>
        </w:rPr>
        <w:t>Border Region and “Presidential Permitting”</w:t>
      </w:r>
    </w:p>
    <w:p>
      <w:pPr>
        <w:pStyle w:val="Normal"/>
        <w:autoSpaceDE w:val="false"/>
        <w:spacing w:before="60" w:after="0"/>
        <w:ind w:start="720" w:end="0"/>
        <w:rPr>
          <w:sz w:val="23"/>
        </w:rPr>
      </w:pPr>
      <w:r>
        <w:rPr>
          <w:sz w:val="23"/>
        </w:rPr>
        <w:t>Mexico’s Electric Power Opening</w:t>
      </w:r>
    </w:p>
    <w:p>
      <w:pPr>
        <w:pStyle w:val="Normal"/>
        <w:autoSpaceDE w:val="false"/>
        <w:spacing w:before="60" w:after="0"/>
        <w:ind w:start="720" w:end="0"/>
        <w:rPr>
          <w:i/>
          <w:i/>
          <w:iCs/>
          <w:sz w:val="23"/>
        </w:rPr>
      </w:pPr>
      <w:r>
        <w:rPr>
          <w:i/>
          <w:iCs/>
          <w:sz w:val="23"/>
        </w:rPr>
        <w:t>*Saul Feder, Mexico Secretary of Energy,</w:t>
      </w:r>
    </w:p>
    <w:p>
      <w:pPr>
        <w:pStyle w:val="Normal"/>
        <w:autoSpaceDE w:val="false"/>
        <w:spacing w:before="60" w:after="0"/>
        <w:ind w:start="720" w:end="0"/>
        <w:rPr>
          <w:i/>
          <w:i/>
          <w:iCs/>
          <w:sz w:val="23"/>
        </w:rPr>
      </w:pPr>
      <w:r>
        <w:rPr>
          <w:i/>
          <w:iCs/>
          <w:sz w:val="23"/>
        </w:rPr>
        <w:t>*Rogelio López-Velarde, Chairman of the Energy Committee of the Mexican Bar Association</w:t>
      </w:r>
    </w:p>
    <w:p>
      <w:pPr>
        <w:pStyle w:val="Normal"/>
        <w:autoSpaceDE w:val="false"/>
        <w:spacing w:before="120" w:after="0"/>
        <w:ind w:hanging="720" w:start="720" w:end="0"/>
        <w:rPr>
          <w:b/>
          <w:sz w:val="23"/>
        </w:rPr>
      </w:pPr>
      <w:r>
        <w:rPr>
          <w:b/>
          <w:sz w:val="23"/>
        </w:rPr>
        <w:t>1:00</w:t>
        <w:tab/>
      </w:r>
      <w:r>
        <w:rPr>
          <w:bCs/>
          <w:sz w:val="23"/>
        </w:rPr>
        <w:t>Lunch</w:t>
      </w:r>
    </w:p>
    <w:p>
      <w:pPr>
        <w:pStyle w:val="Normal"/>
        <w:autoSpaceDE w:val="false"/>
        <w:spacing w:before="120" w:after="0"/>
        <w:ind w:hanging="720" w:start="720" w:end="0"/>
        <w:rPr>
          <w:b/>
          <w:sz w:val="23"/>
        </w:rPr>
      </w:pPr>
      <w:r>
        <w:rPr>
          <w:b/>
          <w:sz w:val="23"/>
        </w:rPr>
        <w:t xml:space="preserve">2:00  </w:t>
        <w:tab/>
        <w:t>Enhance Energy Cooperation</w:t>
      </w:r>
    </w:p>
    <w:p>
      <w:pPr>
        <w:pStyle w:val="Normal"/>
        <w:autoSpaceDE w:val="false"/>
        <w:ind w:start="720" w:end="0"/>
        <w:rPr>
          <w:bCs/>
          <w:i/>
          <w:i/>
          <w:iCs/>
          <w:sz w:val="23"/>
        </w:rPr>
      </w:pPr>
      <w:r>
        <w:rPr>
          <w:bCs/>
          <w:i/>
          <w:iCs/>
          <w:sz w:val="23"/>
        </w:rPr>
        <w:t>*Ignacio Arcaya, Ambassador, Embassy of Venezuela</w:t>
      </w:r>
    </w:p>
    <w:p>
      <w:pPr>
        <w:pStyle w:val="Normal"/>
        <w:autoSpaceDE w:val="false"/>
        <w:spacing w:before="120" w:after="0"/>
        <w:ind w:hanging="720" w:start="720" w:end="0"/>
        <w:rPr>
          <w:b/>
          <w:bCs/>
          <w:sz w:val="23"/>
        </w:rPr>
      </w:pPr>
      <w:r>
        <w:rPr>
          <w:b/>
          <w:bCs/>
          <w:sz w:val="23"/>
        </w:rPr>
        <w:t>2:30</w:t>
        <w:tab/>
        <w:t>Bilateral Investment Treaties: Energy cooperation</w:t>
      </w:r>
    </w:p>
    <w:p>
      <w:pPr>
        <w:pStyle w:val="Normal"/>
        <w:autoSpaceDE w:val="false"/>
        <w:ind w:start="720" w:end="0"/>
        <w:rPr>
          <w:bCs/>
          <w:i/>
          <w:i/>
          <w:iCs/>
          <w:sz w:val="23"/>
        </w:rPr>
      </w:pPr>
      <w:r>
        <w:rPr>
          <w:sz w:val="23"/>
        </w:rPr>
        <w:t>Brazil, Peru</w:t>
      </w:r>
    </w:p>
    <w:p>
      <w:pPr>
        <w:pStyle w:val="NormalWeb"/>
        <w:spacing w:before="120" w:after="0"/>
        <w:ind w:hanging="720" w:start="720" w:end="0"/>
        <w:rPr/>
      </w:pPr>
      <w:r>
        <w:rPr>
          <w:b/>
          <w:sz w:val="23"/>
        </w:rPr>
        <w:t>3:30</w:t>
        <w:tab/>
      </w:r>
      <w:r>
        <w:rPr>
          <w:b/>
          <w:bCs/>
          <w:sz w:val="23"/>
        </w:rPr>
        <w:t>The Role of Multilateral Organizations and Bilateral Relationships: Advancing  Competition, Trade and Investment</w:t>
      </w:r>
    </w:p>
    <w:p>
      <w:pPr>
        <w:pStyle w:val="NormalWeb"/>
        <w:spacing w:before="60" w:after="0"/>
        <w:ind w:start="720" w:end="0"/>
        <w:rPr>
          <w:i/>
          <w:i/>
          <w:iCs/>
          <w:sz w:val="23"/>
        </w:rPr>
      </w:pPr>
      <w:r>
        <w:rPr>
          <w:i/>
          <w:iCs/>
          <w:sz w:val="23"/>
        </w:rPr>
        <w:t>Moderated by *Peter Hakim, President, Inter-American Dialogue</w:t>
      </w:r>
    </w:p>
    <w:p>
      <w:pPr>
        <w:pStyle w:val="Normal"/>
        <w:ind w:start="720" w:end="0"/>
        <w:rPr>
          <w:i/>
          <w:i/>
          <w:iCs/>
          <w:sz w:val="23"/>
        </w:rPr>
      </w:pPr>
      <w:r>
        <w:rPr>
          <w:i/>
          <w:iCs/>
          <w:sz w:val="23"/>
        </w:rPr>
        <w:t>*Robert Drumheller, VP of Finance, OPIC *Luis Guasch, Sector Manager</w:t>
      </w:r>
    </w:p>
    <w:p>
      <w:pPr>
        <w:pStyle w:val="Normal"/>
        <w:ind w:start="720" w:end="0"/>
        <w:rPr>
          <w:i/>
          <w:i/>
          <w:iCs/>
          <w:sz w:val="23"/>
        </w:rPr>
      </w:pPr>
      <w:r>
        <w:rPr>
          <w:i/>
          <w:iCs/>
          <w:sz w:val="23"/>
        </w:rPr>
        <w:t>The World Bank, Latin America &amp; the Caribbean Division</w:t>
      </w:r>
    </w:p>
    <w:p>
      <w:pPr>
        <w:pStyle w:val="Normal"/>
        <w:spacing w:before="120" w:after="60"/>
        <w:ind w:hanging="720" w:start="720" w:end="0"/>
        <w:rPr/>
      </w:pPr>
      <w:r>
        <w:rPr>
          <w:b/>
          <w:sz w:val="23"/>
          <w:lang w:val="pt-BR"/>
        </w:rPr>
        <w:t>4:00</w:t>
        <w:tab/>
      </w:r>
      <w:r>
        <w:rPr>
          <w:b/>
          <w:sz w:val="23"/>
        </w:rPr>
        <w:t>Coffee</w:t>
      </w:r>
      <w:r>
        <w:rPr>
          <w:b/>
          <w:sz w:val="23"/>
          <w:lang w:val="pt-BR"/>
        </w:rPr>
        <w:t xml:space="preserve"> </w:t>
      </w:r>
      <w:r>
        <w:rPr>
          <w:b/>
          <w:sz w:val="23"/>
        </w:rPr>
        <w:t>Break</w:t>
      </w:r>
    </w:p>
    <w:p>
      <w:pPr>
        <w:pStyle w:val="Speaker"/>
        <w:spacing w:before="0" w:after="120"/>
        <w:ind w:hanging="720" w:start="720" w:end="0"/>
        <w:rPr/>
      </w:pPr>
      <w:r>
        <w:rPr>
          <w:b/>
          <w:sz w:val="23"/>
          <w:lang w:val="pt-BR"/>
        </w:rPr>
        <w:t>4:30</w:t>
        <w:tab/>
      </w:r>
      <w:r>
        <w:rPr>
          <w:b/>
          <w:bCs/>
          <w:sz w:val="23"/>
        </w:rPr>
        <w:t>Promoting Sustained Economic Growth: Collaborative market based solutions to environmental concerns</w:t>
      </w:r>
    </w:p>
    <w:p>
      <w:pPr>
        <w:pStyle w:val="Normal"/>
        <w:autoSpaceDE w:val="false"/>
        <w:ind w:start="720" w:end="0"/>
        <w:rPr>
          <w:i/>
          <w:i/>
          <w:iCs/>
          <w:sz w:val="23"/>
        </w:rPr>
      </w:pPr>
      <w:r>
        <w:rPr>
          <w:i/>
          <w:iCs/>
          <w:sz w:val="23"/>
        </w:rPr>
        <w:t>*Alberto Escofet, Director General, Alesco Consultores and member of the Energy Advisory Board of the North American Commission of Environmental Cooperation</w:t>
      </w:r>
    </w:p>
    <w:p>
      <w:pPr>
        <w:pStyle w:val="Normal"/>
        <w:spacing w:before="100" w:after="0"/>
        <w:ind w:hanging="720" w:start="720" w:end="0"/>
        <w:rPr>
          <w:b/>
          <w:sz w:val="23"/>
        </w:rPr>
      </w:pPr>
      <w:r>
        <w:rPr>
          <w:b/>
          <w:sz w:val="23"/>
        </w:rPr>
        <w:t>5:00</w:t>
        <w:tab/>
        <w:t xml:space="preserve">California and Brazil Electricity Crises: Lessons to be learned </w:t>
      </w:r>
    </w:p>
    <w:p>
      <w:pPr>
        <w:pStyle w:val="Normal"/>
        <w:spacing w:before="100" w:after="0"/>
        <w:ind w:start="720" w:end="0"/>
        <w:rPr>
          <w:bCs/>
          <w:i/>
          <w:i/>
          <w:iCs/>
          <w:sz w:val="23"/>
        </w:rPr>
      </w:pPr>
      <w:r>
        <w:rPr>
          <w:bCs/>
          <w:i/>
          <w:iCs/>
          <w:sz w:val="23"/>
        </w:rPr>
        <w:t>*Luiz Maurer, Government &amp; Regulatory Affairs, Enron Corp.</w:t>
      </w:r>
    </w:p>
    <w:p>
      <w:pPr>
        <w:pStyle w:val="Normal"/>
        <w:spacing w:before="100" w:after="60"/>
        <w:ind w:hanging="720" w:start="720" w:end="0"/>
        <w:rPr>
          <w:b/>
          <w:sz w:val="23"/>
        </w:rPr>
      </w:pPr>
      <w:r>
        <w:rPr>
          <w:b/>
          <w:sz w:val="23"/>
        </w:rPr>
        <w:t>5:30</w:t>
        <w:tab/>
        <w:t>Hemispheric Implications of US Energy Policy</w:t>
      </w:r>
    </w:p>
    <w:p>
      <w:pPr>
        <w:pStyle w:val="Normal"/>
        <w:ind w:start="720" w:end="0"/>
        <w:rPr>
          <w:bCs/>
          <w:i/>
          <w:i/>
          <w:iCs/>
          <w:sz w:val="23"/>
        </w:rPr>
      </w:pPr>
      <w:r>
        <w:rPr>
          <w:bCs/>
          <w:i/>
          <w:iCs/>
          <w:sz w:val="23"/>
        </w:rPr>
        <w:t>Moderated by *Edwin Feo, Partner, Milbank, Tweed, Hadley &amp; McCloy LLP</w:t>
      </w:r>
    </w:p>
    <w:p>
      <w:pPr>
        <w:pStyle w:val="Normal"/>
        <w:spacing w:before="100" w:after="60"/>
        <w:ind w:hanging="720" w:start="720" w:end="0"/>
        <w:rPr/>
      </w:pPr>
      <w:r>
        <w:rPr>
          <w:b/>
          <w:sz w:val="23"/>
        </w:rPr>
        <w:tab/>
        <w:t>*</w:t>
      </w:r>
      <w:r>
        <w:rPr>
          <w:bCs/>
          <w:i/>
          <w:iCs/>
          <w:sz w:val="23"/>
        </w:rPr>
        <w:t>Mark Croke, Managing Director Latin America, El Paso</w:t>
      </w:r>
    </w:p>
    <w:p>
      <w:pPr>
        <w:pStyle w:val="Normal"/>
        <w:ind w:start="720" w:end="0"/>
        <w:rPr>
          <w:bCs/>
          <w:i/>
          <w:i/>
          <w:iCs/>
          <w:sz w:val="23"/>
        </w:rPr>
      </w:pPr>
      <w:r>
        <w:rPr>
          <w:bCs/>
          <w:i/>
          <w:iCs/>
          <w:sz w:val="23"/>
        </w:rPr>
        <w:t>*Darcel Hulse, Senior Vice-president, Sempra Energy International</w:t>
      </w:r>
    </w:p>
    <w:p>
      <w:pPr>
        <w:pStyle w:val="Normal"/>
        <w:spacing w:before="100" w:after="60"/>
        <w:ind w:hanging="720" w:start="720" w:end="0"/>
        <w:rPr/>
      </w:pPr>
      <w:r>
        <w:rPr>
          <w:b/>
          <w:sz w:val="23"/>
        </w:rPr>
        <w:t>6:30</w:t>
        <w:tab/>
        <w:t xml:space="preserve">Reception </w:t>
      </w:r>
      <w:r>
        <w:rPr>
          <w:bCs/>
          <w:i/>
          <w:iCs/>
          <w:sz w:val="23"/>
        </w:rPr>
        <w:t>Sponsored by Milbank, Tweed, Hadley &amp; McCloy LLP</w:t>
      </w:r>
    </w:p>
    <w:sectPr>
      <w:type w:val="continuous"/>
      <w:pgSz w:w="12240" w:h="15840"/>
      <w:pgMar w:left="720" w:right="720" w:gutter="0" w:header="0" w:top="720" w:footer="288" w:bottom="720"/>
      <w:cols w:num="2" w:space="708" w:equalWidth="true" w:sep="tru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Helvetica">
    <w:altName w:val="Arial"/>
    <w:charset w:val="00" w:characterSet="windows-1252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Futura Md BT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2020" w:leader="none"/>
        <w:tab w:val="center" w:pos="4320" w:leader="none"/>
        <w:tab w:val="right" w:pos="8640" w:leader="none"/>
        <w:tab w:val="right" w:pos="10224" w:leader="none"/>
      </w:tabs>
      <w:jc w:val="end"/>
      <w:rPr>
        <w:sz w:val="17"/>
      </w:rPr>
    </w:pPr>
    <w:r>
      <w:rPr>
        <w:sz w:val="17"/>
      </w:rPr>
      <w:t>*Confirmed</w:t>
    </w:r>
  </w:p>
  <w:p>
    <w:pPr>
      <w:pStyle w:val="Footer"/>
      <w:tabs>
        <w:tab w:val="left" w:pos="2020" w:leader="none"/>
        <w:tab w:val="center" w:pos="4320" w:leader="none"/>
        <w:tab w:val="right" w:pos="8640" w:leader="none"/>
        <w:tab w:val="right" w:pos="10224" w:leader="none"/>
      </w:tabs>
      <w:jc w:val="end"/>
      <w:rPr/>
    </w:pPr>
    <w:r>
      <w:rPr>
        <w:sz w:val="17"/>
      </w:rPr>
      <w:fldChar w:fldCharType="begin"/>
    </w:r>
    <w:r>
      <w:rPr>
        <w:sz w:val="17"/>
      </w:rPr>
      <w:instrText xml:space="preserve"> DATE \@"M\/d\/yy" </w:instrText>
    </w:r>
    <w:r>
      <w:rPr>
        <w:sz w:val="17"/>
      </w:rPr>
      <w:fldChar w:fldCharType="separate"/>
    </w:r>
    <w:r>
      <w:rPr>
        <w:sz w:val="17"/>
      </w:rPr>
      <w:t>9/28/25</w:t>
    </w:r>
    <w:r>
      <w:rPr>
        <w:sz w:val="17"/>
      </w:rPr>
      <w:fldChar w:fldCharType="end"/>
    </w:r>
    <w:r>
      <w:rPr>
        <w:sz w:val="17"/>
      </w:rPr>
      <w:t xml:space="preserve">                                                                                                                                                                                                                        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tLeast" w:line="18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  <w:sz w:val="16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Times New Roman" w:hAnsi="Times New Roman" w:cs="Times New Roman"/>
      <w:b w:val="false"/>
      <w:i w:val="false"/>
      <w:sz w:val="24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>
      <w:rFonts w:ascii="Times New Roman" w:hAnsi="Times New Roman" w:cs="Times New Roman"/>
      <w:b w:val="false"/>
      <w:i w:val="false"/>
      <w:sz w:val="20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8z0">
    <w:name w:val="WW8Num28z0"/>
    <w:qFormat/>
    <w:rPr>
      <w:rFonts w:ascii="Times New Roman" w:hAnsi="Times New Roman" w:cs="Times New Roman"/>
      <w:b w:val="false"/>
      <w:i w:val="false"/>
      <w:sz w:val="24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Times New Roman" w:hAnsi="Times New Roman" w:cs="Times New Roman"/>
      <w:b w:val="false"/>
      <w:i w:val="false"/>
      <w:sz w:val="24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3">
    <w:name w:val="WW8Num30z3"/>
    <w:qFormat/>
    <w:rPr>
      <w:rFonts w:ascii="Symbol" w:hAnsi="Symbol" w:cs="Symbol"/>
    </w:rPr>
  </w:style>
  <w:style w:type="character" w:styleId="WW8Num30z4">
    <w:name w:val="WW8Num30z4"/>
    <w:qFormat/>
    <w:rPr>
      <w:rFonts w:ascii="Courier New" w:hAnsi="Courier New" w:cs="Courier New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5z0">
    <w:name w:val="WW8Num3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txtnot1">
    <w:name w:val="txtnot1"/>
    <w:basedOn w:val="DefaultParagraphFont"/>
    <w:qFormat/>
    <w:rPr>
      <w:rFonts w:ascii="Helvetica" w:hAnsi="Helvetica" w:cs="Helvetica"/>
      <w:color w:val="000000"/>
      <w:sz w:val="18"/>
      <w:szCs w:val="18"/>
    </w:rPr>
  </w:style>
  <w:style w:type="character" w:styleId="estilodecorreioeletrnico20">
    <w:name w:val="estilodecorreioeletrnico20"/>
    <w:basedOn w:val="DefaultParagraphFont"/>
    <w:qFormat/>
    <w:rPr>
      <w:rFonts w:ascii="Arial" w:hAnsi="Arial" w:cs="Arial"/>
      <w:color w:val="993366"/>
      <w:sz w:val="20"/>
    </w:rPr>
  </w:style>
  <w:style w:type="character" w:styleId="CommentReference">
    <w:name w:val="Comment Reference"/>
    <w:basedOn w:val="DefaultParagraphFont"/>
    <w:qFormat/>
    <w:rPr>
      <w:sz w:val="16"/>
      <w:szCs w:val="16"/>
    </w:rPr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kern w:val="2"/>
      <w:sz w:val="32"/>
    </w:rPr>
  </w:style>
  <w:style w:type="paragraph" w:styleId="BodyText">
    <w:name w:val="Body Text"/>
    <w:basedOn w:val="Normal"/>
    <w:pPr>
      <w:pBdr>
        <w:bottom w:val="single" w:sz="2" w:space="0" w:color="000000"/>
      </w:pBdr>
      <w:spacing w:lineRule="atLeast" w:line="360"/>
    </w:pPr>
    <w:rPr/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next w:val="Normal"/>
    <w:qFormat/>
    <w:pPr>
      <w:jc w:val="center"/>
    </w:pPr>
    <w:rPr>
      <w:rFonts w:ascii="Times" w:hAnsi="Times" w:cs="Times"/>
      <w:sz w:val="32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itle1">
    <w:name w:val="Title1"/>
    <w:basedOn w:val="Normal"/>
    <w:qFormat/>
    <w:pPr>
      <w:spacing w:lineRule="atLeast" w:line="240" w:before="144" w:after="0"/>
    </w:pPr>
    <w:rPr>
      <w:rFonts w:ascii="Futura Md BT" w:hAnsi="Futura Md BT" w:cs="Futura Md BT"/>
      <w:b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Speaker">
    <w:name w:val="Speaker"/>
    <w:basedOn w:val="Normal"/>
    <w:qFormat/>
    <w:pPr>
      <w:spacing w:before="0" w:after="60"/>
      <w:ind w:hanging="360" w:start="1080" w:end="0"/>
    </w:pPr>
    <w:rPr>
      <w:sz w:val="24"/>
    </w:rPr>
  </w:style>
  <w:style w:type="paragraph" w:styleId="BlockText">
    <w:name w:val="Block Text"/>
    <w:basedOn w:val="Normal"/>
    <w:qFormat/>
    <w:pPr>
      <w:spacing w:before="0" w:after="120"/>
      <w:ind w:hanging="0" w:start="1440" w:end="1440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</w:rPr>
  </w:style>
  <w:style w:type="paragraph" w:styleId="BodyTextFirstIndent">
    <w:name w:val="Body Text First Indent"/>
    <w:basedOn w:val="BodyText"/>
    <w:qFormat/>
    <w:pPr>
      <w:pBdr>
        <w:bottom w:val="nil"/>
      </w:pBdr>
      <w:spacing w:lineRule="auto" w:line="240" w:before="0" w:after="120"/>
      <w:ind w:firstLine="210" w:start="0" w:end="0"/>
    </w:pPr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BodyTextFirstIndent2">
    <w:name w:val="Body Text First Indent 2"/>
    <w:basedOn w:val="BodyTextIndent"/>
    <w:qFormat/>
    <w:pPr>
      <w:ind w:firstLine="210" w:start="360" w:end="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start="360" w:end="0"/>
    </w:pPr>
    <w:rPr/>
  </w:style>
  <w:style w:type="paragraph" w:styleId="BodyTextIndent3">
    <w:name w:val="Body Text Indent 3"/>
    <w:basedOn w:val="Normal"/>
    <w:qFormat/>
    <w:pPr>
      <w:spacing w:before="0" w:after="120"/>
      <w:ind w:hanging="0" w:start="360" w:end="0"/>
    </w:pPr>
    <w:rPr>
      <w:sz w:val="16"/>
    </w:rPr>
  </w:style>
  <w:style w:type="paragraph" w:styleId="Closing">
    <w:name w:val="Closing"/>
    <w:basedOn w:val="Normal"/>
    <w:qFormat/>
    <w:pPr>
      <w:ind w:hanging="0" w:start="4320" w:end="0"/>
    </w:pPr>
    <w:rPr/>
  </w:style>
  <w:style w:type="paragraph" w:styleId="CommentText">
    <w:name w:val="Comment Text"/>
    <w:basedOn w:val="Normal"/>
    <w:qFormat/>
    <w:pPr/>
    <w:rPr/>
  </w:style>
  <w:style w:type="paragraph" w:styleId="Date">
    <w:name w:val="Date"/>
    <w:basedOn w:val="Normal"/>
    <w:next w:val="Normal"/>
    <w:qFormat/>
    <w:pPr/>
    <w:rPr/>
  </w:style>
  <w:style w:type="paragraph" w:styleId="EndnoteText">
    <w:name w:val="endnote text"/>
    <w:basedOn w:val="Normal"/>
    <w:pPr/>
    <w:rPr/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  <w:sz w:val="24"/>
    </w:rPr>
  </w:style>
  <w:style w:type="paragraph" w:styleId="EnvelopeReturn">
    <w:name w:val="envelope return"/>
    <w:basedOn w:val="Normal"/>
    <w:pPr/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Index1">
    <w:name w:val="index 1"/>
    <w:basedOn w:val="Normal"/>
    <w:next w:val="Normal"/>
    <w:pPr>
      <w:ind w:hanging="200" w:start="200" w:end="0"/>
    </w:pPr>
    <w:rPr/>
  </w:style>
  <w:style w:type="paragraph" w:styleId="Index2">
    <w:name w:val="index 2"/>
    <w:basedOn w:val="Normal"/>
    <w:next w:val="Normal"/>
    <w:pPr>
      <w:ind w:hanging="200" w:start="400" w:end="0"/>
    </w:pPr>
    <w:rPr/>
  </w:style>
  <w:style w:type="paragraph" w:styleId="Index3">
    <w:name w:val="index 3"/>
    <w:basedOn w:val="Normal"/>
    <w:next w:val="Normal"/>
    <w:pPr>
      <w:ind w:hanging="200" w:start="600" w:end="0"/>
    </w:pPr>
    <w:rPr/>
  </w:style>
  <w:style w:type="paragraph" w:styleId="Index4">
    <w:name w:val="Index 4"/>
    <w:basedOn w:val="Normal"/>
    <w:next w:val="Normal"/>
    <w:qFormat/>
    <w:pPr>
      <w:ind w:hanging="200" w:start="800" w:end="0"/>
    </w:pPr>
    <w:rPr/>
  </w:style>
  <w:style w:type="paragraph" w:styleId="Index5">
    <w:name w:val="Index 5"/>
    <w:basedOn w:val="Normal"/>
    <w:next w:val="Normal"/>
    <w:qFormat/>
    <w:pPr>
      <w:ind w:hanging="200" w:start="1000" w:end="0"/>
    </w:pPr>
    <w:rPr/>
  </w:style>
  <w:style w:type="paragraph" w:styleId="Index6">
    <w:name w:val="Index 6"/>
    <w:basedOn w:val="Normal"/>
    <w:next w:val="Normal"/>
    <w:qFormat/>
    <w:pPr>
      <w:ind w:hanging="200" w:start="1200" w:end="0"/>
    </w:pPr>
    <w:rPr/>
  </w:style>
  <w:style w:type="paragraph" w:styleId="Index7">
    <w:name w:val="Index 7"/>
    <w:basedOn w:val="Normal"/>
    <w:next w:val="Normal"/>
    <w:qFormat/>
    <w:pPr>
      <w:ind w:hanging="200" w:start="1400" w:end="0"/>
    </w:pPr>
    <w:rPr/>
  </w:style>
  <w:style w:type="paragraph" w:styleId="Index8">
    <w:name w:val="Index 8"/>
    <w:basedOn w:val="Normal"/>
    <w:next w:val="Normal"/>
    <w:qFormat/>
    <w:pPr>
      <w:ind w:hanging="200" w:start="1600" w:end="0"/>
    </w:pPr>
    <w:rPr/>
  </w:style>
  <w:style w:type="paragraph" w:styleId="Index9">
    <w:name w:val="Index 9"/>
    <w:basedOn w:val="Normal"/>
    <w:next w:val="Normal"/>
    <w:qFormat/>
    <w:pPr>
      <w:ind w:hanging="200" w:start="1800" w:end="0"/>
    </w:pPr>
    <w:rPr/>
  </w:style>
  <w:style w:type="paragraph" w:styleId="IndexHeading">
    <w:name w:val="index heading"/>
    <w:basedOn w:val="Normal"/>
    <w:next w:val="Index1"/>
    <w:pPr/>
    <w:rPr>
      <w:rFonts w:ascii="Arial" w:hAnsi="Arial" w:cs="Arial"/>
      <w:b/>
    </w:rPr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ListBullet4">
    <w:name w:val="List Bullet 4"/>
    <w:basedOn w:val="Normal"/>
    <w:pPr>
      <w:ind w:hanging="360" w:start="1440" w:end="0"/>
    </w:pPr>
    <w:rPr/>
  </w:style>
  <w:style w:type="paragraph" w:styleId="ListBullet5">
    <w:name w:val="List Bullet 5"/>
    <w:basedOn w:val="Normal"/>
    <w:pPr>
      <w:ind w:hanging="360" w:start="18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</w:pPr>
    <w:rPr/>
  </w:style>
  <w:style w:type="paragraph" w:styleId="ListBullet41">
    <w:name w:val="List Bullet 41"/>
    <w:basedOn w:val="Normal"/>
    <w:qFormat/>
    <w:pPr>
      <w:numPr>
        <w:ilvl w:val="0"/>
        <w:numId w:val="7"/>
      </w:numPr>
    </w:pPr>
    <w:rPr/>
  </w:style>
  <w:style w:type="paragraph" w:styleId="ListBullet51">
    <w:name w:val="List Bullet 51"/>
    <w:basedOn w:val="Normal"/>
    <w:qFormat/>
    <w:pPr>
      <w:numPr>
        <w:ilvl w:val="0"/>
        <w:numId w:val="6"/>
      </w:numPr>
    </w:pPr>
    <w:rPr/>
  </w:style>
  <w:style w:type="paragraph" w:styleId="ListContinue">
    <w:name w:val="List Continue"/>
    <w:basedOn w:val="Normal"/>
    <w:qFormat/>
    <w:pPr>
      <w:spacing w:before="0" w:after="120"/>
      <w:ind w:hanging="0" w:start="360" w:end="0"/>
    </w:pPr>
    <w:rPr/>
  </w:style>
  <w:style w:type="paragraph" w:styleId="ListContinue2">
    <w:name w:val="List Continue 2"/>
    <w:basedOn w:val="Normal"/>
    <w:qFormat/>
    <w:pPr>
      <w:spacing w:before="0" w:after="12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120"/>
      <w:ind w:hanging="0" w:start="1080" w:end="0"/>
    </w:pPr>
    <w:rPr/>
  </w:style>
  <w:style w:type="paragraph" w:styleId="ListContinue4">
    <w:name w:val="List Continue 4"/>
    <w:basedOn w:val="Normal"/>
    <w:qFormat/>
    <w:pPr>
      <w:spacing w:before="0" w:after="120"/>
      <w:ind w:hanging="0" w:start="1440" w:end="0"/>
    </w:pPr>
    <w:rPr/>
  </w:style>
  <w:style w:type="paragraph" w:styleId="ListContinue5">
    <w:name w:val="List Continue 5"/>
    <w:basedOn w:val="Normal"/>
    <w:qFormat/>
    <w:pPr>
      <w:spacing w:before="0" w:after="120"/>
      <w:ind w:hanging="0" w:start="1800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bidi="ar-SA" w:eastAsia="zh-CN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>
      <w:rFonts w:ascii="Arial" w:hAnsi="Arial" w:cs="Arial"/>
      <w:sz w:val="24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Salutation">
    <w:name w:val="Salutation"/>
    <w:basedOn w:val="Normal"/>
    <w:next w:val="Normal"/>
    <w:qFormat/>
    <w:pPr/>
    <w:rPr/>
  </w:style>
  <w:style w:type="paragraph" w:styleId="Signature">
    <w:name w:val="Signature"/>
    <w:basedOn w:val="Normal"/>
    <w:pPr>
      <w:ind w:hanging="0" w:start="432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  <w:sz w:val="24"/>
    </w:rPr>
  </w:style>
  <w:style w:type="paragraph" w:styleId="TableofAuthorities">
    <w:name w:val="Table of Authorities"/>
    <w:basedOn w:val="Normal"/>
    <w:next w:val="Normal"/>
    <w:qFormat/>
    <w:pPr>
      <w:ind w:hanging="200" w:start="200" w:end="0"/>
    </w:pPr>
    <w:rPr/>
  </w:style>
  <w:style w:type="paragraph" w:styleId="TableofFigures">
    <w:name w:val="Table of Figures"/>
    <w:basedOn w:val="Normal"/>
    <w:next w:val="Normal"/>
    <w:qFormat/>
    <w:pPr>
      <w:ind w:hanging="400" w:start="400" w:end="0"/>
    </w:pPr>
    <w:rPr/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b/>
      <w:sz w:val="24"/>
    </w:rPr>
  </w:style>
  <w:style w:type="paragraph" w:styleId="TOC1">
    <w:name w:val="toc 1"/>
    <w:basedOn w:val="Normal"/>
    <w:next w:val="Normal"/>
    <w:pPr/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E-mailSignature">
    <w:name w:val="E-mail Signature"/>
    <w:basedOn w:val="Normal"/>
    <w:qFormat/>
    <w:pPr/>
    <w:rPr/>
  </w:style>
  <w:style w:type="paragraph" w:styleId="HTMLAddress">
    <w:name w:val="HTML Address"/>
    <w:basedOn w:val="Normal"/>
    <w:qFormat/>
    <w:pPr/>
    <w:rPr>
      <w:i/>
      <w:iCs/>
    </w:rPr>
  </w:style>
  <w:style w:type="paragraph" w:styleId="HTMLPreformatted">
    <w:name w:val="HTML Preformatted"/>
    <w:basedOn w:val="Normal"/>
    <w:qFormat/>
    <w:pPr/>
    <w:rPr>
      <w:rFonts w:ascii="Courier New" w:hAnsi="Courier New" w:cs="Courier New"/>
    </w:rPr>
  </w:style>
  <w:style w:type="paragraph" w:styleId="NormalWeb">
    <w:name w:val="Normal (Web)"/>
    <w:basedOn w:val="Normal"/>
    <w:qFormat/>
    <w:pPr/>
    <w:rPr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2001-07-31T19:46:00Z</dcterms:created>
  <dc:creator>Patricia Bennett</dc:creator>
  <dc:description/>
  <dc:language>en-CA</dc:language>
  <cp:lastModifiedBy>Patricia Bennett</cp:lastModifiedBy>
  <cp:lastPrinted>2001-08-10T15:38:00Z</cp:lastPrinted>
  <dcterms:modified xsi:type="dcterms:W3CDTF">2001-08-14T20:18:00Z</dcterms:modified>
  <cp:revision>13</cp:revision>
  <dc:subject/>
  <dc:title>Brazil Power Roundtable</dc:title>
</cp:coreProperties>
</file>