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MARCH 21, 2001 at 4:00 p.m. CST</w:t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AGENDA FOR CALIFORNIA PX BANKRUPTCY CONFERENCE CALL</w:t>
      </w:r>
    </w:p>
    <w:p>
      <w:pPr>
        <w:pStyle w:val="Heading"/>
        <w:rPr/>
      </w:pPr>
      <w:r>
        <w:rPr/>
      </w:r>
    </w:p>
    <w:p>
      <w:pPr>
        <w:pStyle w:val="Heading1"/>
        <w:tabs>
          <w:tab w:val="clear" w:pos="720"/>
        </w:tabs>
        <w:ind w:hanging="0" w:start="0" w:end="0"/>
        <w:rPr/>
      </w:pPr>
      <w:r>
        <w:rPr/>
        <w:t>Summary of pending motions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ind w:hanging="360" w:start="720" w:end="0"/>
        <w:rPr/>
      </w:pPr>
      <w:r>
        <w:rPr/>
        <w:t>Motion to maintain PX collateral accounts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360" w:start="720" w:end="0"/>
        <w:rPr/>
      </w:pPr>
      <w:r>
        <w:rPr/>
        <w:t>Motion to pay employees past wages and future benefits and retention bonuses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360" w:start="720" w:end="0"/>
        <w:rPr/>
      </w:pPr>
      <w:r>
        <w:rPr/>
        <w:t>Motion for relief from stay to allow FERC chargeback complaint to proceed</w:t>
      </w:r>
    </w:p>
    <w:p>
      <w:pPr>
        <w:pStyle w:val="Normal"/>
        <w:rPr/>
      </w:pPr>
      <w:r>
        <w:rPr/>
      </w:r>
    </w:p>
    <w:p>
      <w:pPr>
        <w:pStyle w:val="Heading1"/>
        <w:tabs>
          <w:tab w:val="clear" w:pos="720"/>
        </w:tabs>
        <w:ind w:hanging="0" w:start="0" w:end="0"/>
        <w:rPr/>
      </w:pPr>
      <w:r>
        <w:rPr/>
        <w:t>Status of Enron entities relationship with PX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ind w:hanging="360" w:start="720" w:end="0"/>
        <w:rPr/>
      </w:pPr>
      <w:r>
        <w:rPr/>
        <w:t>EPMI “claims” against PX and amounts owing (other than chargebacks)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/>
      </w:pPr>
      <w:r>
        <w:rPr/>
        <w:t>Portland General (PGE) amounts owed and owing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ind w:hanging="360" w:start="720" w:end="0"/>
        <w:rPr/>
      </w:pPr>
      <w:r>
        <w:rPr/>
        <w:t>Position on whether Participants' are "Creditors"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/>
      </w:pPr>
      <w:r>
        <w:rPr/>
        <w:t>Collateral posted by PGE and EPMI with PX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Cash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Relationship to Preliminary Injunction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Letters of Credit – Renewal Issues; Timing</w:t>
      </w:r>
    </w:p>
    <w:p>
      <w:pPr>
        <w:pStyle w:val="Heading1"/>
        <w:tabs>
          <w:tab w:val="left" w:pos="720" w:leader="none"/>
        </w:tabs>
        <w:ind w:hanging="0" w:start="0" w:end="0"/>
        <w:rPr/>
      </w:pPr>
      <w:r>
        <w:rPr/>
        <w:t>Participants' Committee Formation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ind w:hanging="360" w:start="720" w:end="0"/>
        <w:rPr/>
      </w:pPr>
      <w:r>
        <w:rPr/>
        <w:t>Timing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ind w:hanging="360" w:start="720" w:end="0"/>
        <w:rPr/>
      </w:pPr>
      <w:r>
        <w:rPr/>
        <w:t>Issues to be addressed by such a committee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ind w:hanging="360" w:start="720" w:end="0"/>
        <w:rPr/>
      </w:pPr>
      <w:r>
        <w:rPr/>
        <w:t>Potential Enron conflicts with this committee – Are they unique from potential conflicts of any other participant? E.g., issues re: PX chargeback vs. ISO exposure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ind w:hanging="360" w:start="720" w:end="0"/>
        <w:rPr/>
      </w:pPr>
      <w:r>
        <w:rPr/>
        <w:t>Committee Retention of Professionals</w:t>
      </w:r>
    </w:p>
    <w:p>
      <w:pPr>
        <w:pStyle w:val="Normal"/>
        <w:rPr/>
      </w:pPr>
      <w:r>
        <w:rPr/>
      </w:r>
    </w:p>
    <w:p>
      <w:pPr>
        <w:pStyle w:val="Heading1"/>
        <w:tabs>
          <w:tab w:val="left" w:pos="720" w:leader="none"/>
        </w:tabs>
        <w:ind w:hanging="720" w:start="720" w:end="0"/>
        <w:rPr/>
      </w:pPr>
      <w:r>
        <w:rPr/>
        <w:t>Status of PX being compensated by CA CDWR for commandeering forward contracts.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Tie-in with chargeback issues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Tie-in with conflict with state control of PX</w:t>
      </w:r>
    </w:p>
    <w:p>
      <w:pPr>
        <w:pStyle w:val="Normal"/>
        <w:rPr/>
      </w:pPr>
      <w:r>
        <w:rPr/>
      </w:r>
    </w:p>
    <w:p>
      <w:pPr>
        <w:pStyle w:val="Heading1"/>
        <w:tabs>
          <w:tab w:val="left" w:pos="720" w:leader="none"/>
        </w:tabs>
        <w:ind w:hanging="0" w:start="0" w:end="0"/>
        <w:rPr/>
      </w:pPr>
      <w:r>
        <w:rPr/>
        <w:t>Pursuing complaint against PX at FERC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/>
      </w:pPr>
      <w:r>
        <w:rPr/>
        <w:t>Potential Enron entities exposure to chargeback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/>
      </w:pPr>
      <w:r>
        <w:rPr/>
        <w:t>Potential for early release of collateral based on estimates of exposure</w:t>
      </w:r>
    </w:p>
    <w:p>
      <w:pPr>
        <w:pStyle w:val="Normal"/>
        <w:rPr/>
      </w:pPr>
      <w:r>
        <w:rPr/>
      </w:r>
    </w:p>
    <w:p>
      <w:pPr>
        <w:pStyle w:val="Heading1"/>
        <w:tabs>
          <w:tab w:val="left" w:pos="720" w:leader="none"/>
        </w:tabs>
        <w:ind w:hanging="0" w:start="0" w:end="0"/>
        <w:rPr/>
      </w:pPr>
      <w:r>
        <w:rPr/>
        <w:t>Operational Issues of PX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1"/>
        </w:numPr>
        <w:tabs>
          <w:tab w:val="left" w:pos="720" w:leader="none"/>
        </w:tabs>
        <w:ind w:hanging="360" w:start="720" w:end="0"/>
        <w:rPr/>
      </w:pPr>
      <w:r>
        <w:rPr/>
        <w:t>Cost and timing of completion of accounting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tabs>
          <w:tab w:val="left" w:pos="720" w:leader="none"/>
        </w:tabs>
        <w:ind w:hanging="360" w:start="720" w:end="0"/>
        <w:rPr/>
      </w:pPr>
      <w:r>
        <w:rPr/>
        <w:t>Timing and method of asset liquidation and payment of vendors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/>
      </w:pPr>
      <w:r>
        <w:rPr/>
        <w:t>Retention of professionals by PX and other administrative expenses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/>
      </w:pPr>
      <w:r>
        <w:rPr/>
        <w:t>Quantification of "claims" against IOUs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/>
      </w:pPr>
      <w:r>
        <w:rPr/>
        <w:t>Netting/offset considerations</w:t>
      </w:r>
    </w:p>
    <w:p>
      <w:pPr>
        <w:pStyle w:val="Normal"/>
        <w:rPr/>
      </w:pPr>
      <w:r>
        <w:rPr/>
      </w:r>
    </w:p>
    <w:p>
      <w:pPr>
        <w:pStyle w:val="Heading1"/>
        <w:tabs>
          <w:tab w:val="left" w:pos="720" w:leader="none"/>
        </w:tabs>
        <w:ind w:hanging="0" w:start="0" w:end="0"/>
        <w:rPr/>
      </w:pPr>
      <w:r>
        <w:rPr/>
        <w:t>Update on IOU status re: commencement of bankruptcy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/>
      </w:pPr>
      <w:r>
        <w:rPr/>
        <w:t>Potential Precipitating Events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/>
      </w:pPr>
      <w:r>
        <w:rPr/>
        <w:t>Lien claim by creditor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/>
      </w:pPr>
      <w:r>
        <w:rPr/>
        <w:t>CPUC determination of CPA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/>
      </w:pPr>
      <w:r>
        <w:rPr/>
        <w:t>Possible involuntary by QF's/governor's request for CPUC Order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/>
      </w:pPr>
      <w:r>
        <w:rPr/>
        <w:t>Utilities cash position</w:t>
      </w:r>
    </w:p>
    <w:p>
      <w:pPr>
        <w:pStyle w:val="Normal"/>
        <w:rPr/>
      </w:pPr>
      <w:r>
        <w:rPr/>
      </w:r>
    </w:p>
    <w:p>
      <w:pPr>
        <w:pStyle w:val="Heading1"/>
        <w:tabs>
          <w:tab w:val="left" w:pos="720" w:leader="none"/>
        </w:tabs>
        <w:ind w:hanging="0" w:start="0" w:end="0"/>
        <w:rPr/>
      </w:pPr>
      <w:r>
        <w:rPr/>
        <w:t>Proposed immediate actions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/>
      </w:pPr>
      <w:r>
        <w:rPr/>
        <w:t>Participate in Committee formation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/>
      </w:pPr>
      <w:r>
        <w:rPr/>
        <w:t>Push final accounting forward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/>
      </w:pPr>
      <w:r>
        <w:rPr/>
        <w:t>Move FERC actions forward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/>
      </w:pPr>
      <w:r>
        <w:rPr/>
        <w:t>Attempts  to quantify charge-back exposure and obtain partial release of collateral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Letter"/>
      <w:lvlText w:val="%1."/>
      <w:lvlJc w:val="start"/>
      <w:pPr>
        <w:tabs>
          <w:tab w:val="num" w:pos="720"/>
        </w:tabs>
        <w:ind w:start="0" w:firstLine="72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120" w:after="0"/>
      <w:outlineLvl w:val="0"/>
    </w:pPr>
    <w:rPr>
      <w:kern w:val="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Wingdings" w:hAnsi="Wingdings" w:cs="Wingdings"/>
    </w:rPr>
  </w:style>
  <w:style w:type="character" w:styleId="WW8Num31z0">
    <w:name w:val="WW8Num31z0"/>
    <w:qFormat/>
    <w:rPr>
      <w:rFonts w:ascii="Wingdings" w:hAnsi="Wingdings" w:cs="Wingdings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Wingdings" w:hAnsi="Wingdings" w:cs="Wingdings"/>
    </w:rPr>
  </w:style>
  <w:style w:type="character" w:styleId="WW8Num34z0">
    <w:name w:val="WW8Num34z0"/>
    <w:qFormat/>
    <w:rPr>
      <w:rFonts w:ascii="Wingdings" w:hAnsi="Wingdings" w:cs="Wingdings"/>
    </w:rPr>
  </w:style>
  <w:style w:type="character" w:styleId="WW8Num35z0">
    <w:name w:val="WW8Num35z0"/>
    <w:qFormat/>
    <w:rPr>
      <w:rFonts w:ascii="Wingdings" w:hAnsi="Wingdings" w:cs="Wingdings"/>
    </w:rPr>
  </w:style>
  <w:style w:type="character" w:styleId="WW8Num36z0">
    <w:name w:val="WW8Num36z0"/>
    <w:qFormat/>
    <w:rPr>
      <w:rFonts w:ascii="Wingdings" w:hAnsi="Wingdings" w:cs="Wingdings"/>
    </w:rPr>
  </w:style>
  <w:style w:type="character" w:styleId="WW8Num37z0">
    <w:name w:val="WW8Num37z0"/>
    <w:qFormat/>
    <w:rPr>
      <w:rFonts w:ascii="Wingdings" w:hAnsi="Wingdings" w:cs="Wingdings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40z0">
    <w:name w:val="WW8Num40z0"/>
    <w:qFormat/>
    <w:rPr>
      <w:rFonts w:ascii="Wingdings" w:hAnsi="Wingdings" w:cs="Wingdings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Wingdings" w:hAnsi="Wingdings" w:cs="Wingdings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Wingdings" w:hAnsi="Wingdings" w:cs="Wingdings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2001-03-21T18:57:00Z</dcterms:created>
  <dc:creator>IS Department</dc:creator>
  <dc:description/>
  <cp:keywords>3/21/2001 2:23:10 PM</cp:keywords>
  <dc:language>en-CA</dc:language>
  <cp:lastModifiedBy>IS Department</cp:lastModifiedBy>
  <cp:lastPrinted>2001-03-21T14:23:00Z</cp:lastPrinted>
  <dcterms:modified xsi:type="dcterms:W3CDTF">2001-03-21T18:57:00Z</dcterms:modified>
  <cp:revision>2</cp:revision>
  <dc:subject/>
  <dc:title>MARCH 21, 2001 at 4:00 p</dc:title>
</cp:coreProperties>
</file>