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Normal"/>
        <w:widowControl/>
        <w:tabs>
          <w:tab w:val="clear" w:pos="720"/>
          <w:tab w:val="right" w:pos="9270" w:leader="dot"/>
        </w:tabs>
        <w:jc w:val="both"/>
        <w:rPr>
          <w:rFonts w:ascii="Times New Roman" w:hAnsi="Times New Roman" w:cs="Times New Roman"/>
          <w:b/>
          <w:bCs/>
          <w:caps/>
          <w:sz w:val="22"/>
        </w:rPr>
      </w:pPr>
      <w:r>
        <w:rPr>
          <w:rFonts w:cs="Times New Roman" w:ascii="Times New Roman" w:hAnsi="Times New Roman"/>
          <w:b/>
          <w:bCs/>
          <w:cap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___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Socal Topock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_____,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"ENA Termination Expenses" means the aggregate amount of Services Fee to be paid to ENA by Customer throughout the Term of this Agreement, less the aggregate Services Fee paid by Customer to ENA up to the date of termination </w:t>
      </w:r>
      <w:r>
        <w:rPr>
          <w:rFonts w:cs="Times New Roman" w:ascii="Times New Roman" w:hAnsi="Times New Roman"/>
          <w:b/>
          <w:bCs/>
          <w:i/>
          <w:iCs/>
          <w:sz w:val="22"/>
        </w:rPr>
        <w:t>[Need to discuss this]</w:t>
      </w:r>
      <w:r>
        <w:rPr>
          <w:rFonts w:cs="Times New Roman" w:ascii="Times New Roman" w:hAnsi="Times New Roman"/>
          <w:sz w:val="22"/>
        </w:rPr>
        <w:t xml:space="preserv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dated ______, 2001.</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 xml:space="preserve">"Gas Purchase Contract" means that certain </w:t>
      </w:r>
      <w:r>
        <w:rPr>
          <w:rFonts w:cs="Times New Roman" w:ascii="Times New Roman" w:hAnsi="Times New Roman"/>
          <w:b/>
          <w:bCs/>
          <w:sz w:val="22"/>
        </w:rPr>
        <w:t>[</w:t>
      </w:r>
      <w:r>
        <w:rPr>
          <w:rFonts w:cs="Times New Roman" w:ascii="Times New Roman" w:hAnsi="Times New Roman"/>
          <w:b/>
          <w:bCs/>
          <w:i/>
          <w:iCs/>
          <w:sz w:val="22"/>
        </w:rPr>
        <w:t>natural gas purchase/sale agreement</w:t>
      </w:r>
      <w:r>
        <w:rPr>
          <w:rFonts w:cs="Times New Roman" w:ascii="Times New Roman" w:hAnsi="Times New Roman"/>
          <w:b/>
          <w:bCs/>
          <w:sz w:val="22"/>
        </w:rPr>
        <w:t>]</w:t>
      </w:r>
      <w:r>
        <w:rPr>
          <w:rFonts w:cs="Times New Roman" w:ascii="Times New Roman" w:hAnsi="Times New Roman"/>
          <w:sz w:val="22"/>
        </w:rPr>
        <w:t xml:space="preserve"> in place between Customer and Third Party Supplier dated ___________, 2001, as it may be amended from time to time.</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Amount" means an amount for each month equal to all charges due to Customer under the Gas Sale Contract, less the Transportation Charges, less all charges due to Third Party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"Third Party Supplier" means </w:t>
      </w:r>
      <w:r>
        <w:rPr>
          <w:rFonts w:cs="Times New Roman" w:ascii="Times New Roman" w:hAnsi="Times New Roman"/>
          <w:b/>
          <w:bCs/>
          <w:i/>
          <w:iCs/>
          <w:sz w:val="22"/>
        </w:rPr>
        <w:t>[name of supplier at Permian</w:t>
      </w:r>
      <w:r>
        <w:rPr>
          <w:rFonts w:cs="Times New Roman" w:ascii="Times New Roman" w:hAnsi="Times New Roman"/>
          <w:i/>
          <w:iCs/>
          <w:sz w:val="22"/>
        </w:rPr>
        <w:t>]</w:t>
      </w:r>
      <w:r>
        <w:rPr>
          <w:rFonts w:cs="Times New Roman" w:ascii="Times New Roman" w:hAnsi="Times New Roman"/>
          <w:sz w:val="22"/>
        </w:rPr>
        <w: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hereby appoints ENA as Customer’s exclusive limited agent for the purposes of (i) nominations and scheduling, (ii) receipt and processing of all invoices and (iii) payment of all charges due under the Gas Purchase Contract and the Gas Sale Contract in accordance with the provisions of Article 5 and Article 6 of this Agreement.  Customer shall provide notification to the Third Party Supplier of such agency consistent with the terms and conditions of this Agreement.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Third Party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FEES AND CHARGES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0.22 multiplied by the Net Amount.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 for the Transportation Charges, and (iii)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of each month, ENA shall provide Customer with a written statement (the “Consolidated Statement”) setting forth (i) the Services Fee for the immediately preceding month, (ii) the Transportation Charges for the immediately preceding month, (iii) all charges due under the Gas Purchase Agreement for the immediately preceding month, (iv) the amounts owed by ENA under the Gas Purchase Contract for the immediately preceding month, and (v) the Financial Settlement Amount, if any, [</w:t>
      </w:r>
      <w:r>
        <w:rPr>
          <w:rFonts w:cs="Times New Roman" w:ascii="Times New Roman" w:hAnsi="Times New Roman"/>
          <w:b/>
          <w:bCs/>
          <w:i/>
          <w:iCs/>
          <w:sz w:val="22"/>
        </w:rPr>
        <w:t>for the immediately preceding month]</w:t>
      </w:r>
      <w:r>
        <w:rPr>
          <w:rFonts w:cs="Times New Roman" w:ascii="Times New Roman" w:hAnsi="Times New Roman"/>
          <w:sz w:val="22"/>
        </w:rPr>
        <w:t>.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copies of the transportation contract for the El Paso Service and the Gas Purchase Contract existing as of the Effective Date (including all exhibits and schedules constituting part thereof) and all amendments thereto, waivers relating thereto and other agreements affecting the terms thereof during the Term and such are set forth on Exhibit “A” attached hereto.  The transportation contract for the El Paso Service and the Gas Purchase Contract are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or the Gas Purchase Contract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and all of the other Operational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Third Party Supplier of such expiration or revocation; provided that then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IF ENA BECOMES LIABLE TO CUSTOMER UNDER THIS AGREEMENT OR THE EL PASO AGENCY AGREEMENT FOR ANY REASON, WHETHER ARISING BY NEGLIGENCE OR INTENDED CONDUCT OR OTHERWISE, SUCH LIABILITY SHALL NOT EXCEED THE AGGREGATE FOR ALL EVENTS THE SERVICES FEE PAID TO ENA HEREUNDER FOR THE MOST CURRENT MONTH DURING WHICH ANY OF SUCH EVENTS OCCURRED.</w:t>
      </w:r>
    </w:p>
    <w:p>
      <w:pPr>
        <w:pStyle w:val="BodyTextIndent3"/>
        <w:rPr>
          <w:sz w:val="22"/>
        </w:rPr>
      </w:pPr>
      <w:r>
        <w:rPr>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(except as expressly provided in the Operational Agreements)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President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2001-05-29T22:35:00Z</dcterms:created>
  <dc:creator>wende warren</dc:creator>
  <dc:description/>
  <dc:language>en-CA</dc:language>
  <cp:lastModifiedBy>gnemec</cp:lastModifiedBy>
  <cp:lastPrinted>2001-05-29T20:01:00Z</cp:lastPrinted>
  <dcterms:modified xsi:type="dcterms:W3CDTF">2001-05-29T22:36:00Z</dcterms:modified>
  <cp:revision>3</cp:revision>
  <dc:subject/>
  <dc:title>GAS SUPPLY ASSET ASSIGNMENT AND AGENCY AGREEMENT</dc:title>
</cp:coreProperties>
</file>